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宁波水表（集团）股份有限公司</w:t>
      </w:r>
    </w:p>
    <w:p>
      <w:pPr>
        <w:jc w:val="cente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劳务派遣供应商招标公告</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我司现就劳务派遣供应商进行招标，欢迎有实施能力和资质的国内供应商参加投标，具体情况下：</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一、项目名称及编号</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项目名称：劳务派遣供应商</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二、项目要求</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详见附件《宁波水表（集团）股份有限公司劳务派遣供应商招标书》</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三、资格要求</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1、参加投标的单位必须是在中国注册的法人，取得营业执照，投标方应具备派遣人数100人以上的规模。</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2、有良好的业绩、稳定的队伍，有良好的信誉和合作精神。</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3、投标方与项目实施方必须为同一家公司，不得转包。</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四、获取招标文件的时间、地点、方式</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1、招标公示时间：2024年7月3日至2024年7月11日；</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2、获取招标文件时间：2024年7月3日至2024年7月11日，8：15—17：00（北京时间，公休节假日除外）。</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获取招文件方式：投标人应在招标文件规定时间截止前提交营业执照复印件（加盖单位公章）,法定代表人授权委托书以及被授权人身份证明复印件（加盖单位公章）。上述资料扫描件，以邮件形式发送至zh@chinawatermeter.com，审核通过后我司将通过电子邮件方式发送招标书。</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4、获取了招标文件，而不参加投标的供应商，请在开标日期二日前通知联系人，未作回馈的供应商视为弃权，并取消后续投标资格。</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五、投标截止时间、开标时间、地点及开标事宜</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1、递交投标文件方式：通过邮件邮寄或直接送至投标地点。</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2、投标截止：2024年7月11日下午17：00（北京时间）。</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3、递交投标文件及开标地点：请于截止时间前投递至浙江省宁波市江北区北海路358号。</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4、采购人不负责投标人准备投标文件和递交投标文件所发生的任何费用。</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六、有关本次招标之事宜，可按下列方式联系：</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联系人：赵晗0574-88195846</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 址：浙江省宁波市江北区北海路358号</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邮 编：315000</w:t>
      </w:r>
    </w:p>
    <w:p>
      <w:pPr>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p>
    <w:p>
      <w:pPr>
        <w:jc w:val="righ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宁波水表（集团）股份有限公司</w:t>
      </w:r>
    </w:p>
    <w:p>
      <w:pPr>
        <w:jc w:val="righ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2024年7月3日</w:t>
      </w:r>
    </w:p>
    <w:p>
      <w:pPr>
        <w:pStyle w:val="60"/>
        <w:jc w:val="center"/>
        <w:rPr>
          <w:rFonts w:hint="eastAsia" w:ascii="仿宋_GB2312" w:hAnsi="仿宋_GB2312" w:eastAsia="仿宋_GB2312" w:cs="仿宋_GB2312"/>
          <w:b/>
          <w:spacing w:val="8"/>
          <w:sz w:val="44"/>
          <w:szCs w:val="32"/>
        </w:rPr>
      </w:pPr>
    </w:p>
    <w:p>
      <w:pPr>
        <w:pStyle w:val="60"/>
        <w:jc w:val="center"/>
        <w:rPr>
          <w:rFonts w:hint="eastAsia" w:ascii="仿宋_GB2312" w:hAnsi="仿宋_GB2312" w:eastAsia="仿宋_GB2312" w:cs="仿宋_GB2312"/>
          <w:b/>
          <w:spacing w:val="8"/>
          <w:sz w:val="44"/>
          <w:szCs w:val="32"/>
        </w:rPr>
      </w:pPr>
    </w:p>
    <w:p>
      <w:pPr>
        <w:pStyle w:val="60"/>
        <w:jc w:val="center"/>
        <w:rPr>
          <w:rFonts w:hint="eastAsia" w:ascii="仿宋_GB2312" w:hAnsi="仿宋_GB2312" w:eastAsia="仿宋_GB2312" w:cs="仿宋_GB2312"/>
          <w:b/>
          <w:spacing w:val="8"/>
          <w:sz w:val="44"/>
          <w:szCs w:val="32"/>
        </w:rPr>
      </w:pPr>
    </w:p>
    <w:p>
      <w:pPr>
        <w:pStyle w:val="60"/>
        <w:jc w:val="center"/>
        <w:rPr>
          <w:rFonts w:hint="eastAsia" w:ascii="仿宋_GB2312" w:hAnsi="仿宋_GB2312" w:eastAsia="仿宋_GB2312" w:cs="仿宋_GB2312"/>
          <w:b/>
          <w:spacing w:val="8"/>
          <w:sz w:val="44"/>
          <w:szCs w:val="32"/>
        </w:rPr>
      </w:pPr>
    </w:p>
    <w:p>
      <w:pPr>
        <w:pStyle w:val="60"/>
        <w:jc w:val="center"/>
        <w:rPr>
          <w:rFonts w:hint="eastAsia" w:ascii="仿宋_GB2312" w:hAnsi="仿宋_GB2312" w:eastAsia="仿宋_GB2312" w:cs="仿宋_GB2312"/>
          <w:b/>
          <w:spacing w:val="8"/>
          <w:sz w:val="44"/>
          <w:szCs w:val="32"/>
        </w:rPr>
      </w:pPr>
    </w:p>
    <w:p>
      <w:pPr>
        <w:rPr>
          <w:rFonts w:hint="eastAsia" w:ascii="仿宋_GB2312" w:hAnsi="仿宋_GB2312" w:eastAsia="仿宋_GB2312" w:cs="仿宋_GB2312"/>
          <w:b/>
          <w:color w:val="000000"/>
          <w:spacing w:val="8"/>
          <w:kern w:val="0"/>
          <w:sz w:val="52"/>
          <w:szCs w:val="32"/>
        </w:rPr>
      </w:pPr>
    </w:p>
    <w:p>
      <w:pPr>
        <w:rPr>
          <w:rFonts w:hint="eastAsia" w:ascii="仿宋_GB2312" w:hAnsi="仿宋_GB2312" w:eastAsia="仿宋_GB2312" w:cs="仿宋_GB2312"/>
          <w:b/>
          <w:color w:val="000000"/>
          <w:spacing w:val="8"/>
          <w:kern w:val="0"/>
          <w:sz w:val="52"/>
          <w:szCs w:val="32"/>
        </w:rPr>
      </w:pPr>
      <w:r>
        <w:rPr>
          <w:rFonts w:hint="eastAsia" w:ascii="仿宋_GB2312" w:hAnsi="仿宋_GB2312" w:eastAsia="仿宋_GB2312" w:cs="仿宋_GB2312"/>
          <w:b/>
          <w:color w:val="000000"/>
          <w:spacing w:val="8"/>
          <w:kern w:val="0"/>
          <w:sz w:val="52"/>
          <w:szCs w:val="32"/>
        </w:rPr>
        <w:drawing>
          <wp:anchor distT="0" distB="0" distL="114300" distR="114300" simplePos="0" relativeHeight="251659264" behindDoc="0" locked="0" layoutInCell="1" allowOverlap="1">
            <wp:simplePos x="0" y="0"/>
            <wp:positionH relativeFrom="column">
              <wp:posOffset>407670</wp:posOffset>
            </wp:positionH>
            <wp:positionV relativeFrom="paragraph">
              <wp:posOffset>540385</wp:posOffset>
            </wp:positionV>
            <wp:extent cx="5203190" cy="788035"/>
            <wp:effectExtent l="0" t="0" r="0" b="0"/>
            <wp:wrapNone/>
            <wp:docPr id="31" name="图片 3" descr="LOGO+全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 descr="LOGO+全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203190" cy="788035"/>
                    </a:xfrm>
                    <a:prstGeom prst="rect">
                      <a:avLst/>
                    </a:prstGeom>
                    <a:noFill/>
                    <a:ln>
                      <a:noFill/>
                    </a:ln>
                    <a:effectLst/>
                  </pic:spPr>
                </pic:pic>
              </a:graphicData>
            </a:graphic>
          </wp:anchor>
        </w:drawing>
      </w:r>
    </w:p>
    <w:p>
      <w:pPr>
        <w:rPr>
          <w:rFonts w:hint="eastAsia" w:ascii="仿宋_GB2312" w:hAnsi="仿宋_GB2312" w:eastAsia="仿宋_GB2312" w:cs="仿宋_GB2312"/>
          <w:b/>
          <w:color w:val="000000"/>
          <w:spacing w:val="8"/>
          <w:kern w:val="0"/>
          <w:sz w:val="52"/>
          <w:szCs w:val="32"/>
        </w:rPr>
      </w:pPr>
    </w:p>
    <w:p>
      <w:pPr>
        <w:rPr>
          <w:rFonts w:hint="eastAsia" w:ascii="仿宋_GB2312" w:hAnsi="仿宋_GB2312" w:eastAsia="仿宋_GB2312" w:cs="仿宋_GB2312"/>
          <w:b/>
          <w:color w:val="000000"/>
          <w:spacing w:val="8"/>
          <w:kern w:val="0"/>
          <w:sz w:val="52"/>
          <w:szCs w:val="32"/>
        </w:rPr>
      </w:pPr>
    </w:p>
    <w:p>
      <w:pPr>
        <w:rPr>
          <w:rFonts w:hint="eastAsia" w:ascii="仿宋_GB2312" w:hAnsi="仿宋_GB2312" w:eastAsia="仿宋_GB2312" w:cs="仿宋_GB2312"/>
          <w:b/>
          <w:color w:val="000000"/>
          <w:spacing w:val="8"/>
          <w:kern w:val="0"/>
          <w:sz w:val="52"/>
          <w:szCs w:val="32"/>
        </w:rPr>
      </w:pPr>
    </w:p>
    <w:p>
      <w:pPr>
        <w:jc w:val="center"/>
        <w:rPr>
          <w:rFonts w:hint="eastAsia" w:ascii="仿宋_GB2312" w:hAnsi="仿宋_GB2312" w:eastAsia="仿宋_GB2312" w:cs="仿宋_GB2312"/>
          <w:b/>
          <w:spacing w:val="23"/>
          <w:kern w:val="0"/>
          <w:sz w:val="56"/>
          <w:szCs w:val="56"/>
        </w:rPr>
      </w:pPr>
      <w:r>
        <w:rPr>
          <w:rFonts w:hint="eastAsia" w:ascii="仿宋_GB2312" w:hAnsi="仿宋_GB2312" w:eastAsia="仿宋_GB2312" w:cs="仿宋_GB2312"/>
          <w:b/>
          <w:spacing w:val="23"/>
          <w:kern w:val="0"/>
          <w:sz w:val="56"/>
          <w:szCs w:val="56"/>
        </w:rPr>
        <w:t>宁水集团劳务派遣供应商</w:t>
      </w:r>
    </w:p>
    <w:p>
      <w:pPr>
        <w:jc w:val="center"/>
        <w:rPr>
          <w:rFonts w:hint="eastAsia" w:ascii="仿宋_GB2312" w:hAnsi="仿宋_GB2312" w:eastAsia="仿宋_GB2312" w:cs="仿宋_GB2312"/>
          <w:sz w:val="44"/>
        </w:rPr>
      </w:pPr>
      <w:r>
        <w:rPr>
          <w:rFonts w:hint="eastAsia" w:ascii="仿宋_GB2312" w:hAnsi="仿宋_GB2312" w:eastAsia="仿宋_GB2312" w:cs="仿宋_GB2312"/>
          <w:b/>
          <w:spacing w:val="23"/>
          <w:kern w:val="0"/>
          <w:sz w:val="56"/>
          <w:szCs w:val="56"/>
        </w:rPr>
        <w:t>招标书</w:t>
      </w:r>
    </w:p>
    <w:p>
      <w:pPr>
        <w:rPr>
          <w:rFonts w:hint="eastAsia" w:ascii="仿宋_GB2312" w:hAnsi="仿宋_GB2312" w:eastAsia="仿宋_GB2312" w:cs="仿宋_GB2312"/>
          <w:sz w:val="44"/>
        </w:rPr>
      </w:pPr>
    </w:p>
    <w:p>
      <w:pPr>
        <w:ind w:firstLine="1600" w:firstLineChars="400"/>
        <w:rPr>
          <w:rFonts w:hint="eastAsia" w:ascii="仿宋_GB2312" w:hAnsi="仿宋_GB2312" w:eastAsia="仿宋_GB2312" w:cs="仿宋_GB2312"/>
          <w:sz w:val="44"/>
        </w:rPr>
      </w:pPr>
      <w:r>
        <w:rPr>
          <w:rFonts w:hint="eastAsia" w:ascii="仿宋_GB2312" w:hAnsi="仿宋_GB2312" w:eastAsia="仿宋_GB2312" w:cs="仿宋_GB2312"/>
          <w:sz w:val="40"/>
          <w:szCs w:val="22"/>
        </w:rPr>
        <w:t xml:space="preserve">  </w:t>
      </w:r>
      <w:r>
        <w:rPr>
          <w:rFonts w:hint="eastAsia" w:ascii="仿宋_GB2312" w:hAnsi="仿宋_GB2312" w:eastAsia="仿宋_GB2312" w:cs="仿宋_GB2312"/>
          <w:sz w:val="44"/>
        </w:rPr>
        <w:t xml:space="preserve">         </w:t>
      </w:r>
    </w:p>
    <w:p>
      <w:pPr>
        <w:ind w:firstLine="1760" w:firstLineChars="400"/>
        <w:rPr>
          <w:rFonts w:hint="eastAsia" w:ascii="仿宋_GB2312" w:hAnsi="仿宋_GB2312" w:eastAsia="仿宋_GB2312" w:cs="仿宋_GB2312"/>
          <w:sz w:val="44"/>
        </w:rPr>
      </w:pPr>
    </w:p>
    <w:p>
      <w:pPr>
        <w:ind w:firstLine="1760" w:firstLineChars="400"/>
        <w:rPr>
          <w:rFonts w:hint="eastAsia" w:ascii="仿宋_GB2312" w:hAnsi="仿宋_GB2312" w:eastAsia="仿宋_GB2312" w:cs="仿宋_GB2312"/>
          <w:sz w:val="44"/>
        </w:rPr>
      </w:pPr>
    </w:p>
    <w:p>
      <w:pPr>
        <w:ind w:firstLine="1440" w:firstLineChars="400"/>
        <w:jc w:val="right"/>
        <w:rPr>
          <w:rFonts w:hint="eastAsia" w:ascii="仿宋_GB2312" w:hAnsi="仿宋_GB2312" w:eastAsia="仿宋_GB2312" w:cs="仿宋_GB2312"/>
          <w:sz w:val="36"/>
          <w:szCs w:val="21"/>
        </w:rPr>
      </w:pPr>
      <w:r>
        <w:rPr>
          <w:rFonts w:hint="eastAsia" w:ascii="仿宋_GB2312" w:hAnsi="仿宋_GB2312" w:eastAsia="仿宋_GB2312" w:cs="仿宋_GB2312"/>
          <w:sz w:val="36"/>
          <w:szCs w:val="21"/>
        </w:rPr>
        <w:t xml:space="preserve"> </w:t>
      </w: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 宁波水表（集团）股份有限公司</w:t>
      </w:r>
    </w:p>
    <w:p>
      <w:pPr>
        <w:widowControl/>
        <w:tabs>
          <w:tab w:val="left" w:pos="4440"/>
        </w:tabs>
        <w:adjustRightInd w:val="0"/>
        <w:jc w:val="center"/>
        <w:rPr>
          <w:rFonts w:eastAsia="仿宋_GB2312"/>
          <w:kern w:val="0"/>
          <w:sz w:val="32"/>
          <w:szCs w:val="32"/>
        </w:rPr>
      </w:pPr>
      <w:r>
        <w:rPr>
          <w:rFonts w:eastAsia="仿宋_GB2312"/>
          <w:kern w:val="0"/>
          <w:sz w:val="32"/>
          <w:szCs w:val="32"/>
        </w:rPr>
        <w:t>2024年</w:t>
      </w:r>
      <w:r>
        <w:rPr>
          <w:rFonts w:hint="eastAsia" w:eastAsia="仿宋_GB2312"/>
          <w:kern w:val="0"/>
          <w:sz w:val="32"/>
          <w:szCs w:val="32"/>
        </w:rPr>
        <w:t>7</w:t>
      </w:r>
      <w:r>
        <w:rPr>
          <w:rFonts w:eastAsia="仿宋_GB2312"/>
          <w:kern w:val="0"/>
          <w:sz w:val="32"/>
          <w:szCs w:val="32"/>
        </w:rPr>
        <w:t>月</w:t>
      </w:r>
    </w:p>
    <w:p>
      <w:pPr>
        <w:ind w:right="1440"/>
        <w:rPr>
          <w:rFonts w:hint="eastAsia" w:ascii="仿宋_GB2312" w:hAnsi="仿宋_GB2312" w:eastAsia="仿宋_GB2312" w:cs="仿宋_GB2312"/>
          <w:sz w:val="36"/>
          <w:szCs w:val="21"/>
        </w:rPr>
      </w:pPr>
      <w:r>
        <w:rPr>
          <w:rFonts w:hint="eastAsia" w:ascii="仿宋_GB2312" w:hAnsi="仿宋_GB2312" w:eastAsia="仿宋_GB2312" w:cs="仿宋_GB2312"/>
          <w:sz w:val="36"/>
          <w:szCs w:val="21"/>
        </w:rPr>
        <w:t xml:space="preserve">                              </w:t>
      </w:r>
    </w:p>
    <w:p>
      <w:pPr>
        <w:pStyle w:val="30"/>
        <w:jc w:val="both"/>
        <w:rPr>
          <w:rFonts w:hint="eastAsia" w:ascii="仿宋_GB2312" w:hAnsi="仿宋_GB2312" w:eastAsia="仿宋_GB2312" w:cs="仿宋_GB2312"/>
          <w:b w:val="0"/>
          <w:kern w:val="44"/>
          <w:sz w:val="28"/>
          <w:szCs w:val="28"/>
        </w:rPr>
      </w:pPr>
      <w:bookmarkStart w:id="0" w:name="_Toc419755217"/>
      <w:bookmarkStart w:id="1" w:name="_Toc382992193"/>
      <w:bookmarkStart w:id="2" w:name="_Toc382991376"/>
      <w:bookmarkStart w:id="3" w:name="_Toc438202054"/>
      <w:bookmarkStart w:id="4" w:name="_Ref419754759"/>
      <w:bookmarkStart w:id="5" w:name="_Toc382991557"/>
      <w:r>
        <w:rPr>
          <w:rFonts w:hint="eastAsia" w:ascii="仿宋_GB2312" w:hAnsi="仿宋_GB2312" w:eastAsia="仿宋_GB2312" w:cs="仿宋_GB2312"/>
          <w:kern w:val="44"/>
          <w:sz w:val="28"/>
          <w:szCs w:val="28"/>
        </w:rPr>
        <w:br w:type="page"/>
      </w:r>
      <w:bookmarkStart w:id="6" w:name="_Toc25089"/>
      <w:r>
        <w:rPr>
          <w:rFonts w:hint="eastAsia" w:ascii="仿宋_GB2312" w:hAnsi="仿宋_GB2312" w:eastAsia="仿宋_GB2312" w:cs="仿宋_GB2312"/>
          <w:bCs w:val="0"/>
          <w:kern w:val="44"/>
          <w:sz w:val="28"/>
          <w:szCs w:val="28"/>
        </w:rPr>
        <w:t xml:space="preserve">第一部分 </w:t>
      </w:r>
    </w:p>
    <w:p>
      <w:pPr>
        <w:pStyle w:val="30"/>
        <w:rPr>
          <w:rFonts w:hint="eastAsia" w:ascii="仿宋_GB2312" w:hAnsi="仿宋_GB2312" w:eastAsia="仿宋_GB2312" w:cs="仿宋_GB2312"/>
          <w:bCs w:val="0"/>
          <w:kern w:val="44"/>
        </w:rPr>
      </w:pPr>
      <w:r>
        <w:rPr>
          <w:rFonts w:hint="eastAsia" w:ascii="仿宋_GB2312" w:hAnsi="仿宋_GB2312" w:eastAsia="仿宋_GB2312" w:cs="仿宋_GB2312"/>
          <w:bCs w:val="0"/>
          <w:kern w:val="44"/>
        </w:rPr>
        <w:t>投标邀请书</w:t>
      </w:r>
      <w:bookmarkEnd w:id="0"/>
      <w:bookmarkEnd w:id="1"/>
      <w:bookmarkEnd w:id="2"/>
      <w:bookmarkEnd w:id="3"/>
      <w:bookmarkEnd w:id="4"/>
      <w:bookmarkEnd w:id="5"/>
      <w:bookmarkEnd w:id="6"/>
    </w:p>
    <w:p>
      <w:pPr>
        <w:rPr>
          <w:rFonts w:hint="eastAsia" w:ascii="仿宋_GB2312" w:hAnsi="仿宋_GB2312" w:eastAsia="仿宋_GB2312" w:cs="仿宋_GB2312"/>
        </w:rPr>
      </w:pPr>
    </w:p>
    <w:p>
      <w:pPr>
        <w:spacing w:line="60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宁波水表（集团）股份有限公司（以下简称“招标方”）就</w:t>
      </w:r>
      <w:r>
        <w:rPr>
          <w:rFonts w:hint="eastAsia" w:ascii="仿宋_GB2312" w:hAnsi="仿宋_GB2312" w:eastAsia="仿宋_GB2312" w:cs="仿宋_GB2312"/>
          <w:sz w:val="28"/>
          <w:szCs w:val="28"/>
          <w:u w:val="single"/>
        </w:rPr>
        <w:t>劳务派遣供应商</w:t>
      </w:r>
      <w:r>
        <w:rPr>
          <w:rFonts w:hint="eastAsia" w:ascii="仿宋_GB2312" w:hAnsi="仿宋_GB2312" w:eastAsia="仿宋_GB2312" w:cs="仿宋_GB2312"/>
          <w:sz w:val="28"/>
          <w:szCs w:val="28"/>
        </w:rPr>
        <w:t>进行招标，兹邀请前来投标。有关事项如下：</w:t>
      </w:r>
    </w:p>
    <w:p>
      <w:pPr>
        <w:numPr>
          <w:ilvl w:val="0"/>
          <w:numId w:val="3"/>
        </w:numPr>
        <w:spacing w:line="600" w:lineRule="atLeas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招标项目： </w:t>
      </w:r>
      <w:r>
        <w:rPr>
          <w:rFonts w:hint="eastAsia" w:ascii="仿宋_GB2312" w:hAnsi="仿宋_GB2312" w:eastAsia="仿宋_GB2312" w:cs="仿宋_GB2312"/>
          <w:sz w:val="28"/>
          <w:szCs w:val="28"/>
          <w:u w:val="single"/>
        </w:rPr>
        <w:t>劳务派遣供应商</w:t>
      </w:r>
      <w:r>
        <w:rPr>
          <w:rFonts w:hint="eastAsia" w:ascii="仿宋_GB2312" w:hAnsi="仿宋_GB2312" w:eastAsia="仿宋_GB2312" w:cs="仿宋_GB2312"/>
          <w:sz w:val="28"/>
          <w:szCs w:val="28"/>
        </w:rPr>
        <w:t>；</w:t>
      </w:r>
    </w:p>
    <w:p>
      <w:pPr>
        <w:numPr>
          <w:ilvl w:val="0"/>
          <w:numId w:val="3"/>
        </w:numPr>
        <w:spacing w:line="600" w:lineRule="atLeast"/>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招标文件由 </w:t>
      </w:r>
      <w:r>
        <w:rPr>
          <w:rFonts w:hint="eastAsia" w:ascii="仿宋_GB2312" w:hAnsi="仿宋_GB2312" w:eastAsia="仿宋_GB2312" w:cs="仿宋_GB2312"/>
          <w:sz w:val="28"/>
          <w:szCs w:val="28"/>
          <w:u w:val="single"/>
        </w:rPr>
        <w:t>宁波水表（集团）股份有限公司</w:t>
      </w:r>
      <w:r>
        <w:rPr>
          <w:rFonts w:hint="eastAsia" w:ascii="仿宋_GB2312" w:hAnsi="仿宋_GB2312" w:eastAsia="仿宋_GB2312" w:cs="仿宋_GB2312"/>
          <w:sz w:val="28"/>
          <w:szCs w:val="28"/>
        </w:rPr>
        <w:t xml:space="preserve"> 以邮件形式发送；</w:t>
      </w:r>
    </w:p>
    <w:p>
      <w:pPr>
        <w:numPr>
          <w:ilvl w:val="0"/>
          <w:numId w:val="3"/>
        </w:numPr>
        <w:spacing w:line="600" w:lineRule="atLeast"/>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招标文件发放时间：</w:t>
      </w:r>
      <w:r>
        <w:rPr>
          <w:rFonts w:hint="eastAsia" w:ascii="仿宋_GB2312" w:hAnsi="仿宋_GB2312" w:eastAsia="仿宋_GB2312" w:cs="仿宋_GB2312"/>
          <w:sz w:val="28"/>
          <w:szCs w:val="28"/>
          <w:u w:val="single"/>
        </w:rPr>
        <w:t>2024年7月3日</w:t>
      </w:r>
    </w:p>
    <w:p>
      <w:pPr>
        <w:numPr>
          <w:ilvl w:val="0"/>
          <w:numId w:val="3"/>
        </w:numPr>
        <w:spacing w:line="600" w:lineRule="atLeast"/>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招标方联系方式：</w:t>
      </w:r>
      <w:r>
        <w:rPr>
          <w:rFonts w:hint="eastAsia" w:ascii="仿宋_GB2312" w:hAnsi="仿宋_GB2312" w:eastAsia="仿宋_GB2312" w:cs="仿宋_GB2312"/>
          <w:sz w:val="28"/>
          <w:szCs w:val="28"/>
          <w:u w:val="single"/>
        </w:rPr>
        <w:t xml:space="preserve"> 赵晗  15776763572</w:t>
      </w:r>
    </w:p>
    <w:p>
      <w:pPr>
        <w:numPr>
          <w:ilvl w:val="0"/>
          <w:numId w:val="3"/>
        </w:numPr>
        <w:spacing w:line="600" w:lineRule="atLeast"/>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招标方联系邮箱：</w:t>
      </w:r>
      <w:r>
        <w:rPr>
          <w:rFonts w:hint="eastAsia" w:ascii="仿宋_GB2312" w:hAnsi="仿宋_GB2312" w:eastAsia="仿宋_GB2312" w:cs="仿宋_GB2312"/>
          <w:sz w:val="28"/>
          <w:szCs w:val="28"/>
          <w:u w:val="single"/>
        </w:rPr>
        <w:t>zh@chinawatermeter.com</w:t>
      </w:r>
    </w:p>
    <w:p>
      <w:pPr>
        <w:numPr>
          <w:ilvl w:val="0"/>
          <w:numId w:val="3"/>
        </w:numPr>
        <w:spacing w:line="600" w:lineRule="atLeast"/>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投标地址：</w:t>
      </w:r>
      <w:r>
        <w:rPr>
          <w:rFonts w:hint="eastAsia" w:ascii="仿宋_GB2312" w:hAnsi="仿宋_GB2312" w:eastAsia="仿宋_GB2312" w:cs="仿宋_GB2312"/>
          <w:sz w:val="28"/>
          <w:szCs w:val="28"/>
          <w:u w:val="single"/>
        </w:rPr>
        <w:t>浙江省宁波市江北区北海路358号 （邮编：315000）</w:t>
      </w:r>
    </w:p>
    <w:p>
      <w:pPr>
        <w:numPr>
          <w:ilvl w:val="0"/>
          <w:numId w:val="3"/>
        </w:numPr>
        <w:spacing w:line="600" w:lineRule="atLeast"/>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投标截止时间：</w:t>
      </w:r>
      <w:r>
        <w:rPr>
          <w:rFonts w:hint="eastAsia" w:ascii="仿宋_GB2312" w:hAnsi="仿宋_GB2312" w:eastAsia="仿宋_GB2312" w:cs="仿宋_GB2312"/>
          <w:sz w:val="28"/>
          <w:szCs w:val="28"/>
          <w:u w:val="single"/>
        </w:rPr>
        <w:t>2024年7月11日17 时</w:t>
      </w:r>
      <w:r>
        <w:rPr>
          <w:rFonts w:hint="eastAsia" w:ascii="仿宋_GB2312" w:hAnsi="仿宋_GB2312" w:eastAsia="仿宋_GB2312" w:cs="仿宋_GB2312"/>
          <w:sz w:val="28"/>
          <w:szCs w:val="28"/>
        </w:rPr>
        <w:t>（北京时间）</w:t>
      </w:r>
    </w:p>
    <w:p>
      <w:pPr>
        <w:numPr>
          <w:ilvl w:val="0"/>
          <w:numId w:val="3"/>
        </w:numPr>
        <w:spacing w:line="600" w:lineRule="atLeast"/>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开标时间：</w:t>
      </w:r>
      <w:r>
        <w:rPr>
          <w:rFonts w:hint="eastAsia" w:ascii="仿宋_GB2312" w:hAnsi="仿宋_GB2312" w:eastAsia="仿宋_GB2312" w:cs="仿宋_GB2312"/>
          <w:sz w:val="28"/>
          <w:szCs w:val="28"/>
          <w:u w:val="single"/>
        </w:rPr>
        <w:t>具体另行通知</w:t>
      </w:r>
    </w:p>
    <w:p>
      <w:pPr>
        <w:numPr>
          <w:ilvl w:val="0"/>
          <w:numId w:val="3"/>
        </w:numPr>
        <w:spacing w:line="600" w:lineRule="atLeast"/>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开标地点：</w:t>
      </w:r>
      <w:r>
        <w:rPr>
          <w:rFonts w:hint="eastAsia" w:ascii="仿宋_GB2312" w:hAnsi="仿宋_GB2312" w:eastAsia="仿宋_GB2312" w:cs="仿宋_GB2312"/>
          <w:sz w:val="28"/>
          <w:szCs w:val="28"/>
          <w:u w:val="single"/>
        </w:rPr>
        <w:t>浙江省宁波市江北区北海路358号</w:t>
      </w:r>
    </w:p>
    <w:p>
      <w:pPr>
        <w:numPr>
          <w:ilvl w:val="0"/>
          <w:numId w:val="3"/>
        </w:numPr>
        <w:spacing w:line="600" w:lineRule="atLeast"/>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凡对本次招标提出询问，请于投标截止时间前与我司指定联系人联系或以邮件形式沟通。</w:t>
      </w:r>
    </w:p>
    <w:p>
      <w:pPr>
        <w:pStyle w:val="32"/>
        <w:spacing w:after="0" w:line="600" w:lineRule="atLeast"/>
        <w:ind w:left="0" w:leftChars="0" w:firstLine="560"/>
        <w:rPr>
          <w:rFonts w:hint="eastAsia" w:ascii="仿宋_GB2312" w:hAnsi="仿宋_GB2312" w:eastAsia="仿宋_GB2312" w:cs="仿宋_GB2312"/>
          <w:sz w:val="28"/>
          <w:szCs w:val="28"/>
        </w:rPr>
      </w:pPr>
    </w:p>
    <w:p>
      <w:pPr>
        <w:pStyle w:val="32"/>
        <w:spacing w:after="0" w:line="600" w:lineRule="atLeast"/>
        <w:ind w:left="0" w:leftChars="0" w:firstLine="560"/>
        <w:rPr>
          <w:rFonts w:hint="eastAsia" w:ascii="仿宋_GB2312" w:hAnsi="仿宋_GB2312" w:eastAsia="仿宋_GB2312" w:cs="仿宋_GB2312"/>
          <w:sz w:val="28"/>
          <w:szCs w:val="28"/>
        </w:rPr>
      </w:pPr>
    </w:p>
    <w:p>
      <w:pPr>
        <w:spacing w:line="600" w:lineRule="atLeast"/>
        <w:rPr>
          <w:rFonts w:hint="eastAsia" w:ascii="仿宋_GB2312" w:hAnsi="仿宋_GB2312" w:eastAsia="仿宋_GB2312" w:cs="仿宋_GB2312"/>
          <w:sz w:val="28"/>
          <w:szCs w:val="28"/>
        </w:rPr>
      </w:pPr>
    </w:p>
    <w:p>
      <w:pPr>
        <w:spacing w:line="600" w:lineRule="atLeast"/>
        <w:ind w:firstLine="4900" w:firstLineChars="17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宁波水表（集团）股份有限公司</w:t>
      </w:r>
    </w:p>
    <w:p>
      <w:pPr>
        <w:spacing w:line="600" w:lineRule="atLeas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2024年7月3日</w:t>
      </w:r>
      <w:bookmarkStart w:id="7" w:name="_Toc24633"/>
      <w:bookmarkStart w:id="8" w:name="_Toc382992194"/>
      <w:bookmarkStart w:id="9" w:name="_Toc382991558"/>
      <w:bookmarkStart w:id="10" w:name="_Ref419754768"/>
      <w:bookmarkStart w:id="11" w:name="_Toc438202055"/>
      <w:bookmarkStart w:id="12" w:name="_Toc213833039"/>
      <w:bookmarkStart w:id="13" w:name="_Toc419755218"/>
      <w:bookmarkStart w:id="14" w:name="_Toc382991377"/>
    </w:p>
    <w:p>
      <w:pPr>
        <w:widowControl/>
        <w:jc w:val="left"/>
        <w:rPr>
          <w:rFonts w:ascii="仿宋_GB2312" w:hAnsi="仿宋_GB2312" w:eastAsia="仿宋_GB2312" w:cs="仿宋_GB2312"/>
          <w:b/>
          <w:bCs/>
          <w:kern w:val="44"/>
          <w:sz w:val="28"/>
          <w:szCs w:val="28"/>
        </w:rPr>
      </w:pPr>
      <w:r>
        <w:rPr>
          <w:rFonts w:ascii="仿宋_GB2312" w:hAnsi="仿宋_GB2312" w:eastAsia="仿宋_GB2312" w:cs="仿宋_GB2312"/>
          <w:kern w:val="44"/>
          <w:sz w:val="28"/>
          <w:szCs w:val="28"/>
        </w:rPr>
        <w:br w:type="page"/>
      </w:r>
    </w:p>
    <w:p>
      <w:pPr>
        <w:pStyle w:val="30"/>
        <w:jc w:val="both"/>
        <w:rPr>
          <w:rFonts w:hint="eastAsia" w:ascii="仿宋_GB2312" w:hAnsi="仿宋_GB2312" w:eastAsia="仿宋_GB2312" w:cs="仿宋_GB2312"/>
          <w:kern w:val="44"/>
          <w:sz w:val="28"/>
          <w:szCs w:val="28"/>
        </w:rPr>
      </w:pPr>
      <w:r>
        <w:rPr>
          <w:rFonts w:hint="eastAsia" w:ascii="仿宋_GB2312" w:hAnsi="仿宋_GB2312" w:eastAsia="仿宋_GB2312" w:cs="仿宋_GB2312"/>
          <w:kern w:val="44"/>
          <w:sz w:val="28"/>
          <w:szCs w:val="28"/>
        </w:rPr>
        <w:t>第二部分</w:t>
      </w:r>
    </w:p>
    <w:p>
      <w:pPr>
        <w:pStyle w:val="30"/>
        <w:rPr>
          <w:rFonts w:hint="eastAsia" w:ascii="仿宋_GB2312" w:hAnsi="仿宋_GB2312" w:eastAsia="仿宋_GB2312" w:cs="仿宋_GB2312"/>
          <w:kern w:val="44"/>
        </w:rPr>
      </w:pPr>
      <w:r>
        <w:rPr>
          <w:rFonts w:hint="eastAsia" w:ascii="仿宋_GB2312" w:hAnsi="仿宋_GB2312" w:eastAsia="仿宋_GB2312" w:cs="仿宋_GB2312"/>
          <w:kern w:val="44"/>
        </w:rPr>
        <w:t xml:space="preserve"> 招标需求</w:t>
      </w:r>
    </w:p>
    <w:p>
      <w:pPr>
        <w:rPr>
          <w:rFonts w:hint="eastAsia" w:ascii="仿宋_GB2312" w:hAnsi="仿宋_GB2312" w:eastAsia="仿宋_GB2312" w:cs="仿宋_GB2312"/>
        </w:rPr>
      </w:pPr>
    </w:p>
    <w:p>
      <w:pPr>
        <w:adjustRightInd w:val="0"/>
        <w:snapToGrid w:val="0"/>
        <w:spacing w:line="360" w:lineRule="auto"/>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一、项目概况：</w:t>
      </w:r>
      <w:r>
        <w:rPr>
          <w:rFonts w:hint="eastAsia" w:ascii="仿宋_GB2312" w:hAnsi="仿宋_GB2312" w:eastAsia="仿宋_GB2312" w:cs="仿宋_GB2312"/>
          <w:sz w:val="28"/>
          <w:szCs w:val="28"/>
        </w:rPr>
        <w:t>为满足宁波水表（集团）股份有限公司生产经营用工需求，同时节约招工成本，决定招标引入劳务派遣供应商，用工数量根据实际用工情况决定。</w:t>
      </w:r>
    </w:p>
    <w:p>
      <w:pPr>
        <w:adjustRightInd w:val="0"/>
        <w:snapToGrid w:val="0"/>
        <w:spacing w:line="360" w:lineRule="auto"/>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二、服务内容</w:t>
      </w:r>
    </w:p>
    <w:p>
      <w:pPr>
        <w:adjustRightInd w:val="0"/>
        <w:snapToGrid w:val="0"/>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1.招聘服务：</w:t>
      </w:r>
    </w:p>
    <w:p>
      <w:pPr>
        <w:adjustRightInd w:val="0"/>
        <w:snapToGrid w:val="0"/>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供应商根据招标人岗位派遣员工的用工需求制定招聘计划，拓展招聘渠道，落实招聘方案，并按照要求组织求职人员简历筛选、求职接洽、员工推荐，根据招标人要求组织员工面试，并办理入职前相关工作。</w:t>
      </w:r>
    </w:p>
    <w:p>
      <w:pPr>
        <w:adjustRightInd w:val="0"/>
        <w:snapToGrid w:val="0"/>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2.管理服务：</w:t>
      </w:r>
    </w:p>
    <w:p>
      <w:pPr>
        <w:adjustRightInd w:val="0"/>
        <w:snapToGrid w:val="0"/>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根据招标人岗位派遣员工的用工需求制定服务计划，及时补充缺岗人员及办理入离职手续、员工培训、工资福利发放，并处理劳务争议处理等服务。</w:t>
      </w:r>
    </w:p>
    <w:p>
      <w:pPr>
        <w:adjustRightInd w:val="0"/>
        <w:snapToGrid w:val="0"/>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3.管理要求</w:t>
      </w:r>
    </w:p>
    <w:p>
      <w:pPr>
        <w:adjustRightInd w:val="0"/>
        <w:snapToGrid w:val="0"/>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（1）由供应商负责与派遣员工签订劳动合同，确定劳动关系。</w:t>
      </w:r>
    </w:p>
    <w:p>
      <w:pPr>
        <w:adjustRightInd w:val="0"/>
        <w:snapToGrid w:val="0"/>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（2）由供应商负责派遣员工的薪酬发放，社保及住房公积金办理及个税代扣代缴，劳动关系维护，代办员工有关证件，有关法律法规咨询等。</w:t>
      </w:r>
    </w:p>
    <w:p>
      <w:pPr>
        <w:adjustRightInd w:val="0"/>
        <w:snapToGrid w:val="0"/>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（3）由供应商负责处理派遣员工提出的劳动仲裁、诉讼等事宜。</w:t>
      </w:r>
    </w:p>
    <w:p>
      <w:pPr>
        <w:adjustRightInd w:val="0"/>
        <w:snapToGrid w:val="0"/>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（4）由供应商负责派遣员工的档案管理。</w:t>
      </w:r>
    </w:p>
    <w:p>
      <w:pPr>
        <w:adjustRightInd w:val="0"/>
        <w:snapToGrid w:val="0"/>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4.服务质量要求</w:t>
      </w:r>
    </w:p>
    <w:p>
      <w:pPr>
        <w:adjustRightInd w:val="0"/>
        <w:snapToGrid w:val="0"/>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（1）招标人确定员工名单后，由供应商确保5个工作日内办理完毕劳动合同签订手续、派遣手续、员工变更手续，及时向招标人派遣。</w:t>
      </w:r>
    </w:p>
    <w:p>
      <w:pPr>
        <w:adjustRightInd w:val="0"/>
        <w:snapToGrid w:val="0"/>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（2）供应商应确保及时、准确、妥善的处理派遣员工的薪酬发放(薪酬发放以招标人的相关政策为准)，社保及住房公积金办理、个税代扣代缴工作，派遣员工的变更手续办理，避免发生劳动仲裁、诉讼事件。</w:t>
      </w:r>
    </w:p>
    <w:p>
      <w:pPr>
        <w:adjustRightInd w:val="0"/>
        <w:snapToGrid w:val="0"/>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（3）供应商应确保及时、准确、妥善的处理派遣员工的档案管理、党员组织关系管理以及专业技术人员的职称申报、评定等工作，避免发生人事仲裁事件。</w:t>
      </w:r>
    </w:p>
    <w:p>
      <w:pPr>
        <w:adjustRightInd w:val="0"/>
        <w:snapToGrid w:val="0"/>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（4）供应商应确保和谐、稳妥的处理派遣员工的劳动仲裁、劳动诉讼及人事仲裁事件，避免妨碍招标人的正常工作或给招标人带来不利社会影响。</w:t>
      </w:r>
    </w:p>
    <w:p>
      <w:pPr>
        <w:adjustRightInd w:val="0"/>
        <w:snapToGrid w:val="0"/>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（5）派遣员工在用工单位因工作遭受事故伤害的，供应商应当依法申请工伤认定，招标人应当协助工伤认定的调查核实工作。供应商承担工伤保险责任。</w:t>
      </w:r>
    </w:p>
    <w:p>
      <w:pPr>
        <w:widowControl/>
        <w:jc w:val="left"/>
        <w:rPr>
          <w:rFonts w:ascii="仿宋_GB2312" w:hAnsi="仿宋_GB2312" w:eastAsia="仿宋_GB2312" w:cs="仿宋_GB2312"/>
          <w:b/>
          <w:kern w:val="44"/>
          <w:sz w:val="28"/>
          <w:szCs w:val="28"/>
        </w:rPr>
      </w:pPr>
      <w:r>
        <w:rPr>
          <w:rFonts w:ascii="仿宋_GB2312" w:hAnsi="仿宋_GB2312" w:eastAsia="仿宋_GB2312" w:cs="仿宋_GB2312"/>
          <w:bCs/>
          <w:kern w:val="44"/>
          <w:sz w:val="28"/>
          <w:szCs w:val="28"/>
        </w:rPr>
        <w:br w:type="page"/>
      </w:r>
    </w:p>
    <w:p>
      <w:pPr>
        <w:pStyle w:val="30"/>
        <w:jc w:val="both"/>
        <w:rPr>
          <w:rFonts w:hint="eastAsia" w:ascii="仿宋_GB2312" w:hAnsi="仿宋_GB2312" w:eastAsia="仿宋_GB2312" w:cs="仿宋_GB2312"/>
          <w:bCs w:val="0"/>
          <w:kern w:val="44"/>
          <w:sz w:val="28"/>
          <w:szCs w:val="28"/>
        </w:rPr>
      </w:pPr>
      <w:r>
        <w:rPr>
          <w:rFonts w:hint="eastAsia" w:ascii="仿宋_GB2312" w:hAnsi="仿宋_GB2312" w:eastAsia="仿宋_GB2312" w:cs="仿宋_GB2312"/>
          <w:bCs w:val="0"/>
          <w:kern w:val="44"/>
          <w:sz w:val="28"/>
          <w:szCs w:val="28"/>
        </w:rPr>
        <w:t xml:space="preserve">第三部分 </w:t>
      </w:r>
      <w:bookmarkEnd w:id="7"/>
      <w:bookmarkStart w:id="15" w:name="_Toc30729"/>
    </w:p>
    <w:p>
      <w:pPr>
        <w:pStyle w:val="30"/>
        <w:spacing w:line="520" w:lineRule="exact"/>
        <w:rPr>
          <w:rFonts w:hint="eastAsia" w:ascii="仿宋_GB2312" w:hAnsi="仿宋_GB2312" w:eastAsia="仿宋_GB2312" w:cs="仿宋_GB2312"/>
          <w:bCs w:val="0"/>
          <w:kern w:val="44"/>
        </w:rPr>
      </w:pPr>
      <w:r>
        <w:rPr>
          <w:rFonts w:hint="eastAsia" w:ascii="仿宋_GB2312" w:hAnsi="仿宋_GB2312" w:eastAsia="仿宋_GB2312" w:cs="仿宋_GB2312"/>
          <w:bCs w:val="0"/>
          <w:kern w:val="44"/>
        </w:rPr>
        <w:t>投标方须知</w:t>
      </w:r>
      <w:bookmarkEnd w:id="8"/>
      <w:bookmarkEnd w:id="9"/>
      <w:bookmarkEnd w:id="10"/>
      <w:bookmarkEnd w:id="11"/>
      <w:bookmarkEnd w:id="12"/>
      <w:bookmarkEnd w:id="13"/>
      <w:bookmarkEnd w:id="14"/>
      <w:bookmarkEnd w:id="15"/>
    </w:p>
    <w:p>
      <w:pPr>
        <w:rPr>
          <w:rFonts w:hint="eastAsia" w:ascii="仿宋_GB2312" w:hAnsi="仿宋_GB2312" w:eastAsia="仿宋_GB2312" w:cs="仿宋_GB2312"/>
        </w:rPr>
      </w:pPr>
    </w:p>
    <w:p>
      <w:pPr>
        <w:adjustRightInd w:val="0"/>
        <w:snapToGrid w:val="0"/>
        <w:spacing w:line="600" w:lineRule="atLeast"/>
        <w:ind w:firstLine="562"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一、招标方式：</w:t>
      </w:r>
      <w:r>
        <w:rPr>
          <w:rFonts w:hint="eastAsia" w:ascii="仿宋_GB2312" w:hAnsi="仿宋_GB2312" w:eastAsia="仿宋_GB2312" w:cs="仿宋_GB2312"/>
          <w:sz w:val="28"/>
          <w:szCs w:val="28"/>
        </w:rPr>
        <w:t>本次招标采</w:t>
      </w:r>
      <w:r>
        <w:rPr>
          <w:rFonts w:hint="eastAsia" w:ascii="仿宋_GB2312" w:hAnsi="仿宋_GB2312" w:eastAsia="仿宋_GB2312" w:cs="仿宋_GB2312"/>
          <w:color w:val="000000"/>
          <w:sz w:val="28"/>
          <w:szCs w:val="28"/>
        </w:rPr>
        <w:t>取公开招标方式。</w:t>
      </w:r>
    </w:p>
    <w:p>
      <w:pPr>
        <w:adjustRightInd w:val="0"/>
        <w:snapToGrid w:val="0"/>
        <w:spacing w:line="600" w:lineRule="atLeas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二、投标费用：</w:t>
      </w:r>
      <w:r>
        <w:rPr>
          <w:rFonts w:hint="eastAsia" w:ascii="仿宋_GB2312" w:hAnsi="仿宋_GB2312" w:eastAsia="仿宋_GB2312" w:cs="仿宋_GB2312"/>
          <w:sz w:val="28"/>
          <w:szCs w:val="28"/>
        </w:rPr>
        <w:t>本次招标不收取投标保证金，但投标方必须保证投标方案相关内容及资质的真实性、有效性；否则，招标方有权追究其相关法律责任。</w:t>
      </w:r>
    </w:p>
    <w:p>
      <w:pPr>
        <w:adjustRightInd w:val="0"/>
        <w:snapToGrid w:val="0"/>
        <w:spacing w:line="600" w:lineRule="atLeas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三、条件与资质：</w:t>
      </w:r>
    </w:p>
    <w:p>
      <w:pPr>
        <w:pStyle w:val="14"/>
        <w:spacing w:after="0"/>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（一）投标方必须是在中华人民共和国境内注册的法人机构，具有从事本项目的经营范围和能力；</w:t>
      </w:r>
    </w:p>
    <w:p>
      <w:pPr>
        <w:pStyle w:val="14"/>
        <w:spacing w:after="0"/>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（二）投标方需具有人力资源服务许可证或劳务派遣经营许可证；</w:t>
      </w:r>
    </w:p>
    <w:p>
      <w:pPr>
        <w:pStyle w:val="14"/>
        <w:spacing w:after="0"/>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（三）投标方须具有投标产品的服务能力，并在人员招聘及管理方面具备相应的履行合同的能力；</w:t>
      </w:r>
    </w:p>
    <w:p>
      <w:pPr>
        <w:pStyle w:val="14"/>
        <w:spacing w:after="0"/>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sz w:val="28"/>
          <w:szCs w:val="28"/>
        </w:rPr>
        <w:t>（四）投标方应具备派遣人数100人以上的规模，</w:t>
      </w:r>
      <w:r>
        <w:rPr>
          <w:rFonts w:hint="eastAsia" w:ascii="仿宋_GB2312" w:hAnsi="仿宋_GB2312" w:eastAsia="仿宋_GB2312" w:cs="仿宋_GB2312"/>
          <w:color w:val="000000"/>
          <w:sz w:val="28"/>
          <w:szCs w:val="28"/>
        </w:rPr>
        <w:t>且预付能力需达到400万元以上；</w:t>
      </w:r>
    </w:p>
    <w:p>
      <w:pPr>
        <w:pStyle w:val="14"/>
        <w:spacing w:after="0"/>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（五）投标方与项目实施方必须为同一家公司，不得转包。</w:t>
      </w:r>
      <w:bookmarkStart w:id="16" w:name="_Toc382991562"/>
      <w:bookmarkStart w:id="17" w:name="_Toc419755221"/>
      <w:bookmarkStart w:id="18" w:name="_Toc438202058"/>
      <w:bookmarkStart w:id="19" w:name="_Toc382992198"/>
      <w:bookmarkStart w:id="20" w:name="_Toc213833043"/>
      <w:bookmarkStart w:id="21" w:name="_Toc382991381"/>
    </w:p>
    <w:p>
      <w:pPr>
        <w:pStyle w:val="14"/>
        <w:spacing w:after="0"/>
        <w:ind w:firstLine="562" w:firstLineChars="200"/>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四、投标方案：</w:t>
      </w:r>
    </w:p>
    <w:p>
      <w:pPr>
        <w:pStyle w:val="59"/>
        <w:spacing w:line="360" w:lineRule="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（一）纸质投标文件：</w:t>
      </w:r>
      <w:r>
        <w:rPr>
          <w:rFonts w:hint="eastAsia" w:ascii="仿宋_GB2312" w:hAnsi="仿宋_GB2312" w:eastAsia="仿宋_GB2312" w:cs="仿宋_GB2312"/>
          <w:b/>
          <w:sz w:val="28"/>
          <w:szCs w:val="28"/>
        </w:rPr>
        <w:t>投标文件（正本壹份，副本壹份）</w:t>
      </w:r>
      <w:r>
        <w:rPr>
          <w:rFonts w:hint="eastAsia" w:ascii="仿宋_GB2312" w:hAnsi="仿宋_GB2312" w:eastAsia="仿宋_GB2312" w:cs="仿宋_GB2312"/>
          <w:bCs/>
          <w:sz w:val="28"/>
          <w:szCs w:val="28"/>
        </w:rPr>
        <w:t>；</w:t>
      </w:r>
    </w:p>
    <w:p>
      <w:pPr>
        <w:pStyle w:val="59"/>
        <w:spacing w:line="360" w:lineRule="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（二）投标文件内容：</w:t>
      </w:r>
    </w:p>
    <w:p>
      <w:pPr>
        <w:pStyle w:val="59"/>
        <w:spacing w:line="360" w:lineRule="auto"/>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1.投标人基本概况：要求包含但不仅限于以下内容</w:t>
      </w:r>
    </w:p>
    <w:p>
      <w:pPr>
        <w:pStyle w:val="59"/>
        <w:spacing w:line="360" w:lineRule="auto"/>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投标人简介：</w:t>
      </w:r>
      <w:r>
        <w:rPr>
          <w:rFonts w:hint="eastAsia" w:ascii="仿宋_GB2312" w:hAnsi="仿宋_GB2312" w:eastAsia="仿宋_GB2312" w:cs="仿宋_GB2312"/>
          <w:sz w:val="28"/>
          <w:szCs w:val="28"/>
        </w:rPr>
        <w:t>需要明确体现企业成立年限、团队成员情况、业务范围情况、业务服务内容等体现企业总体实力的相关说明。</w:t>
      </w:r>
    </w:p>
    <w:p>
      <w:pPr>
        <w:pStyle w:val="59"/>
        <w:spacing w:line="360" w:lineRule="auto"/>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2.报价方案内容：</w:t>
      </w:r>
    </w:p>
    <w:p>
      <w:pPr>
        <w:adjustRightInd w:val="0"/>
        <w:snapToGrid w:val="0"/>
        <w:spacing w:line="60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项目报价：(请参照附件4商务报价模版填写，如模版选项不全可另补充或说明)。商务标只包含商务价格，其他所有商务资质等证明文件请放入技术标内。 </w:t>
      </w:r>
    </w:p>
    <w:p>
      <w:pPr>
        <w:adjustRightInd w:val="0"/>
        <w:snapToGrid w:val="0"/>
        <w:spacing w:line="60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结算方式：按合同约定的发票类型、结算方式和结算周期结算。</w:t>
      </w:r>
      <w:bookmarkEnd w:id="16"/>
      <w:bookmarkEnd w:id="17"/>
      <w:bookmarkEnd w:id="18"/>
      <w:bookmarkEnd w:id="19"/>
      <w:bookmarkEnd w:id="20"/>
      <w:bookmarkEnd w:id="21"/>
      <w:bookmarkStart w:id="22" w:name="_Toc12773"/>
      <w:bookmarkStart w:id="23" w:name="_Toc5224"/>
    </w:p>
    <w:p>
      <w:pPr>
        <w:widowControl/>
        <w:jc w:val="left"/>
        <w:rPr>
          <w:rFonts w:ascii="仿宋_GB2312" w:hAnsi="仿宋_GB2312" w:eastAsia="仿宋_GB2312" w:cs="仿宋_GB2312"/>
          <w:b/>
          <w:bCs/>
          <w:kern w:val="44"/>
          <w:sz w:val="28"/>
          <w:szCs w:val="28"/>
        </w:rPr>
      </w:pPr>
      <w:r>
        <w:rPr>
          <w:rFonts w:ascii="仿宋_GB2312" w:hAnsi="仿宋_GB2312" w:eastAsia="仿宋_GB2312" w:cs="仿宋_GB2312"/>
          <w:kern w:val="44"/>
          <w:sz w:val="28"/>
          <w:szCs w:val="28"/>
        </w:rPr>
        <w:br w:type="page"/>
      </w:r>
    </w:p>
    <w:p>
      <w:pPr>
        <w:pStyle w:val="30"/>
        <w:jc w:val="both"/>
        <w:rPr>
          <w:rFonts w:hint="eastAsia" w:ascii="仿宋_GB2312" w:hAnsi="仿宋_GB2312" w:eastAsia="仿宋_GB2312" w:cs="仿宋_GB2312"/>
          <w:kern w:val="44"/>
          <w:sz w:val="28"/>
          <w:szCs w:val="28"/>
        </w:rPr>
      </w:pPr>
      <w:r>
        <w:rPr>
          <w:rFonts w:hint="eastAsia" w:ascii="仿宋_GB2312" w:hAnsi="仿宋_GB2312" w:eastAsia="仿宋_GB2312" w:cs="仿宋_GB2312"/>
          <w:kern w:val="44"/>
          <w:sz w:val="28"/>
          <w:szCs w:val="28"/>
        </w:rPr>
        <w:t xml:space="preserve">第四部分  </w:t>
      </w:r>
    </w:p>
    <w:p>
      <w:pPr>
        <w:pStyle w:val="30"/>
        <w:rPr>
          <w:rFonts w:hint="eastAsia" w:ascii="仿宋_GB2312" w:hAnsi="仿宋_GB2312" w:eastAsia="仿宋_GB2312" w:cs="仿宋_GB2312"/>
          <w:kern w:val="44"/>
        </w:rPr>
      </w:pPr>
      <w:r>
        <w:rPr>
          <w:rFonts w:hint="eastAsia" w:ascii="仿宋_GB2312" w:hAnsi="仿宋_GB2312" w:eastAsia="仿宋_GB2312" w:cs="仿宋_GB2312"/>
          <w:kern w:val="44"/>
        </w:rPr>
        <w:t>投标书编制</w:t>
      </w:r>
      <w:bookmarkEnd w:id="22"/>
      <w:bookmarkStart w:id="24" w:name="_Toc213833041"/>
    </w:p>
    <w:bookmarkEnd w:id="24"/>
    <w:p>
      <w:pPr>
        <w:adjustRightInd w:val="0"/>
        <w:snapToGrid w:val="0"/>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投标文件的组成，投标方必须按招标方以下顺序编写标书：</w:t>
      </w:r>
    </w:p>
    <w:p>
      <w:pPr>
        <w:adjustRightInd w:val="0"/>
        <w:snapToGrid w:val="0"/>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1.技术标</w:t>
      </w:r>
    </w:p>
    <w:p>
      <w:pPr>
        <w:adjustRightInd w:val="0"/>
        <w:snapToGrid w:val="0"/>
        <w:spacing w:line="360" w:lineRule="auto"/>
        <w:rPr>
          <w:rFonts w:eastAsia="仿宋_GB2312"/>
          <w:sz w:val="28"/>
          <w:szCs w:val="28"/>
        </w:rPr>
      </w:pPr>
      <w:r>
        <w:rPr>
          <w:rFonts w:eastAsia="仿宋_GB2312"/>
          <w:sz w:val="28"/>
          <w:szCs w:val="28"/>
        </w:rPr>
        <w:t>1.1目录</w:t>
      </w:r>
    </w:p>
    <w:p>
      <w:pPr>
        <w:adjustRightInd w:val="0"/>
        <w:snapToGrid w:val="0"/>
        <w:spacing w:line="360" w:lineRule="auto"/>
        <w:rPr>
          <w:rFonts w:eastAsia="仿宋_GB2312"/>
          <w:sz w:val="28"/>
          <w:szCs w:val="28"/>
        </w:rPr>
      </w:pPr>
      <w:r>
        <w:rPr>
          <w:rFonts w:eastAsia="仿宋_GB2312"/>
          <w:sz w:val="28"/>
          <w:szCs w:val="28"/>
        </w:rPr>
        <w:t>1.2投标函（请按附件1填写）；</w:t>
      </w:r>
    </w:p>
    <w:p>
      <w:pPr>
        <w:adjustRightInd w:val="0"/>
        <w:snapToGrid w:val="0"/>
        <w:spacing w:line="360" w:lineRule="auto"/>
        <w:rPr>
          <w:rFonts w:eastAsia="仿宋_GB2312"/>
          <w:sz w:val="28"/>
          <w:szCs w:val="28"/>
        </w:rPr>
      </w:pPr>
      <w:r>
        <w:rPr>
          <w:rFonts w:eastAsia="仿宋_GB2312"/>
          <w:sz w:val="28"/>
          <w:szCs w:val="28"/>
        </w:rPr>
        <w:t>1.3企业概况介绍：包括公司基本资料、公司介绍、行业经验，与本次投标项目相类似的主要案例的介绍；</w:t>
      </w:r>
    </w:p>
    <w:p>
      <w:pPr>
        <w:adjustRightInd w:val="0"/>
        <w:snapToGrid w:val="0"/>
        <w:spacing w:line="360" w:lineRule="auto"/>
        <w:rPr>
          <w:rFonts w:eastAsia="仿宋_GB2312"/>
          <w:sz w:val="28"/>
          <w:szCs w:val="28"/>
        </w:rPr>
      </w:pPr>
      <w:r>
        <w:rPr>
          <w:rFonts w:eastAsia="仿宋_GB2312"/>
          <w:sz w:val="28"/>
          <w:szCs w:val="28"/>
        </w:rPr>
        <w:t>1.4资质文件：营业执照副本、最近两年的财务报告加盖投标单位公章（集团公司+子公司）、近1年财务审计报告资产负债表和损益表，加盖投标单位公章，法定代表人身份证明书；授权委托书；其他资质许可文件（提供人力资源服务许可证或劳务派遣和外包许可证）；</w:t>
      </w:r>
    </w:p>
    <w:p>
      <w:pPr>
        <w:adjustRightInd w:val="0"/>
        <w:snapToGrid w:val="0"/>
        <w:spacing w:line="360" w:lineRule="auto"/>
        <w:rPr>
          <w:rFonts w:eastAsia="仿宋_GB2312"/>
          <w:sz w:val="28"/>
          <w:szCs w:val="28"/>
        </w:rPr>
      </w:pPr>
      <w:r>
        <w:rPr>
          <w:rFonts w:eastAsia="仿宋_GB2312"/>
          <w:sz w:val="28"/>
          <w:szCs w:val="28"/>
        </w:rPr>
        <w:t>1.5提供项目总体投标方案（含项目实施人员情况，按附件5填写）；</w:t>
      </w:r>
    </w:p>
    <w:p>
      <w:pPr>
        <w:adjustRightInd w:val="0"/>
        <w:snapToGrid w:val="0"/>
        <w:spacing w:line="360" w:lineRule="auto"/>
        <w:rPr>
          <w:rFonts w:eastAsia="仿宋_GB2312"/>
          <w:sz w:val="28"/>
          <w:szCs w:val="28"/>
        </w:rPr>
      </w:pPr>
      <w:r>
        <w:rPr>
          <w:rFonts w:eastAsia="仿宋_GB2312"/>
          <w:sz w:val="28"/>
          <w:szCs w:val="28"/>
        </w:rPr>
        <w:t>1.6保密协议（按附件3填写）</w:t>
      </w:r>
    </w:p>
    <w:p>
      <w:pPr>
        <w:adjustRightInd w:val="0"/>
        <w:snapToGrid w:val="0"/>
        <w:spacing w:line="360" w:lineRule="auto"/>
        <w:rPr>
          <w:rFonts w:eastAsia="仿宋_GB2312"/>
          <w:sz w:val="28"/>
          <w:szCs w:val="28"/>
        </w:rPr>
      </w:pPr>
      <w:r>
        <w:rPr>
          <w:rFonts w:eastAsia="仿宋_GB2312"/>
          <w:sz w:val="28"/>
          <w:szCs w:val="28"/>
        </w:rPr>
        <w:t>2.商务标</w:t>
      </w:r>
    </w:p>
    <w:p>
      <w:pPr>
        <w:adjustRightInd w:val="0"/>
        <w:snapToGrid w:val="0"/>
        <w:spacing w:line="360" w:lineRule="auto"/>
        <w:rPr>
          <w:rFonts w:eastAsia="仿宋_GB2312"/>
          <w:sz w:val="28"/>
          <w:szCs w:val="28"/>
        </w:rPr>
      </w:pPr>
      <w:r>
        <w:rPr>
          <w:rFonts w:eastAsia="仿宋_GB2312"/>
          <w:sz w:val="28"/>
          <w:szCs w:val="28"/>
        </w:rPr>
        <w:t>2.1项目报价：(请参照附件4商务报价模版填写，如模版选项不全可另补充或说明)。商务标包含劳务派遣管理费用、外包服务费用及招聘费用三种。其他所有商务资质等证明文件请放入技术标内。</w:t>
      </w:r>
    </w:p>
    <w:p>
      <w:pPr>
        <w:adjustRightInd w:val="0"/>
        <w:snapToGrid w:val="0"/>
        <w:spacing w:line="360" w:lineRule="auto"/>
        <w:ind w:firstLine="562" w:firstLineChars="200"/>
        <w:rPr>
          <w:rFonts w:eastAsia="仿宋_GB2312"/>
          <w:b/>
          <w:bCs/>
          <w:color w:val="FF0000"/>
          <w:sz w:val="28"/>
          <w:szCs w:val="28"/>
        </w:rPr>
      </w:pPr>
      <w:r>
        <w:rPr>
          <w:rFonts w:hint="eastAsia" w:eastAsia="仿宋_GB2312"/>
          <w:b/>
          <w:bCs/>
          <w:color w:val="FF0000"/>
          <w:sz w:val="28"/>
          <w:szCs w:val="28"/>
        </w:rPr>
        <w:t>注：报价过程中外包服务费需注明外包的存量和新增价格分别为多少，以及写明存量的标准。</w:t>
      </w:r>
    </w:p>
    <w:p>
      <w:pPr>
        <w:adjustRightInd w:val="0"/>
        <w:snapToGrid w:val="0"/>
        <w:spacing w:line="360" w:lineRule="auto"/>
        <w:rPr>
          <w:rFonts w:hint="eastAsia" w:eastAsia="仿宋_GB2312"/>
          <w:sz w:val="28"/>
          <w:szCs w:val="28"/>
        </w:rPr>
      </w:pPr>
      <w:r>
        <w:rPr>
          <w:rFonts w:eastAsia="仿宋_GB2312"/>
          <w:sz w:val="28"/>
          <w:szCs w:val="28"/>
        </w:rPr>
        <w:t>2.</w:t>
      </w:r>
      <w:r>
        <w:rPr>
          <w:rFonts w:hint="eastAsia" w:eastAsia="仿宋_GB2312"/>
          <w:sz w:val="28"/>
          <w:szCs w:val="28"/>
        </w:rPr>
        <w:t>2</w:t>
      </w:r>
      <w:r>
        <w:rPr>
          <w:rFonts w:eastAsia="仿宋_GB2312"/>
          <w:sz w:val="28"/>
          <w:szCs w:val="28"/>
        </w:rPr>
        <w:t>结算方式：按合同约定的发票类型、结算方式和结算周期结算。</w:t>
      </w:r>
      <w:bookmarkStart w:id="25" w:name="_Toc438202057"/>
      <w:bookmarkStart w:id="26" w:name="_Toc419755220"/>
      <w:bookmarkStart w:id="27" w:name="_Toc382991380"/>
      <w:bookmarkStart w:id="28" w:name="_Toc213833042"/>
      <w:bookmarkStart w:id="29" w:name="_Toc382992197"/>
      <w:bookmarkStart w:id="30" w:name="_Toc382991561"/>
      <w:bookmarkStart w:id="31" w:name="_Toc5722"/>
    </w:p>
    <w:p>
      <w:pPr>
        <w:widowControl/>
        <w:jc w:val="left"/>
        <w:rPr>
          <w:rFonts w:ascii="仿宋_GB2312" w:hAnsi="仿宋_GB2312" w:eastAsia="仿宋_GB2312" w:cs="仿宋_GB2312"/>
          <w:b/>
          <w:bCs/>
          <w:kern w:val="44"/>
          <w:sz w:val="28"/>
          <w:szCs w:val="28"/>
        </w:rPr>
      </w:pPr>
      <w:r>
        <w:rPr>
          <w:rFonts w:ascii="仿宋_GB2312" w:hAnsi="仿宋_GB2312" w:eastAsia="仿宋_GB2312" w:cs="仿宋_GB2312"/>
          <w:kern w:val="44"/>
          <w:sz w:val="28"/>
          <w:szCs w:val="28"/>
        </w:rPr>
        <w:br w:type="page"/>
      </w:r>
    </w:p>
    <w:p>
      <w:pPr>
        <w:pStyle w:val="30"/>
        <w:jc w:val="both"/>
        <w:rPr>
          <w:rFonts w:hint="eastAsia" w:ascii="仿宋_GB2312" w:hAnsi="仿宋_GB2312" w:eastAsia="仿宋_GB2312" w:cs="仿宋_GB2312"/>
          <w:kern w:val="44"/>
          <w:sz w:val="28"/>
          <w:szCs w:val="28"/>
        </w:rPr>
      </w:pPr>
      <w:r>
        <w:rPr>
          <w:rFonts w:hint="eastAsia" w:ascii="仿宋_GB2312" w:hAnsi="仿宋_GB2312" w:eastAsia="仿宋_GB2312" w:cs="仿宋_GB2312"/>
          <w:kern w:val="44"/>
          <w:sz w:val="28"/>
          <w:szCs w:val="28"/>
        </w:rPr>
        <w:t xml:space="preserve">第五部分 </w:t>
      </w:r>
    </w:p>
    <w:p>
      <w:pPr>
        <w:pStyle w:val="30"/>
        <w:rPr>
          <w:rFonts w:hint="eastAsia" w:ascii="仿宋_GB2312" w:hAnsi="仿宋_GB2312" w:eastAsia="仿宋_GB2312" w:cs="仿宋_GB2312"/>
          <w:kern w:val="44"/>
        </w:rPr>
      </w:pPr>
      <w:r>
        <w:rPr>
          <w:rFonts w:hint="eastAsia" w:ascii="仿宋_GB2312" w:hAnsi="仿宋_GB2312" w:eastAsia="仿宋_GB2312" w:cs="仿宋_GB2312"/>
          <w:kern w:val="44"/>
        </w:rPr>
        <w:t>投标书递交</w:t>
      </w:r>
      <w:bookmarkEnd w:id="25"/>
      <w:bookmarkEnd w:id="26"/>
      <w:bookmarkEnd w:id="27"/>
      <w:bookmarkEnd w:id="28"/>
      <w:bookmarkEnd w:id="29"/>
      <w:bookmarkEnd w:id="30"/>
      <w:bookmarkEnd w:id="31"/>
    </w:p>
    <w:p>
      <w:pPr>
        <w:adjustRightInd w:val="0"/>
        <w:snapToGrid w:val="0"/>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1.投标方应把投标书装入档案袋内加以密封，并在封签处加盖单位公章。</w:t>
      </w:r>
    </w:p>
    <w:p>
      <w:pPr>
        <w:adjustRightInd w:val="0"/>
        <w:snapToGrid w:val="0"/>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2.投标书档案袋上应写明：投标项目、公司名称、投标日期、联系人、手机号、邮箱等信息。</w:t>
      </w:r>
    </w:p>
    <w:p>
      <w:pPr>
        <w:adjustRightInd w:val="0"/>
        <w:snapToGrid w:val="0"/>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3.未注明投标项目、公司名称的标书将作废标处理，商务报价独立装订； 封面加盖公章并盖骑缝章，未盖章的将作废标处理。</w:t>
      </w:r>
    </w:p>
    <w:p>
      <w:pPr>
        <w:spacing w:line="360" w:lineRule="auto"/>
        <w:ind w:right="-34" w:rightChars="-16"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4.投标方必须在</w:t>
      </w:r>
      <w:r>
        <w:rPr>
          <w:rFonts w:hint="eastAsia" w:ascii="仿宋_GB2312" w:hAnsi="仿宋_GB2312" w:eastAsia="仿宋_GB2312" w:cs="仿宋_GB2312"/>
          <w:sz w:val="28"/>
          <w:szCs w:val="28"/>
          <w:u w:val="single"/>
        </w:rPr>
        <w:t xml:space="preserve"> 2024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7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11</w:t>
      </w:r>
      <w:bookmarkStart w:id="34" w:name="_GoBack"/>
      <w:bookmarkEnd w:id="34"/>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u w:val="single"/>
        </w:rPr>
        <w:t xml:space="preserve">  17  </w:t>
      </w:r>
      <w:r>
        <w:rPr>
          <w:rFonts w:hint="eastAsia" w:ascii="仿宋_GB2312" w:hAnsi="仿宋_GB2312" w:eastAsia="仿宋_GB2312" w:cs="仿宋_GB2312"/>
          <w:sz w:val="28"/>
          <w:szCs w:val="28"/>
        </w:rPr>
        <w:t>时（北京时间）前，将投标书送达到，逾期投标将不予受理。</w:t>
      </w:r>
    </w:p>
    <w:p>
      <w:pPr>
        <w:spacing w:line="360" w:lineRule="auto"/>
        <w:ind w:right="-34" w:rightChars="-16"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5.投标方送达投标书以后，要求对投标书进行修改或撤回时，必须在投标截止日前以书面形式送交招标方。</w:t>
      </w:r>
      <w:bookmarkStart w:id="32" w:name="_Toc12559"/>
    </w:p>
    <w:p>
      <w:pPr>
        <w:widowControl/>
        <w:jc w:val="left"/>
        <w:rPr>
          <w:rFonts w:ascii="仿宋_GB2312" w:eastAsia="仿宋_GB2312"/>
          <w:b/>
          <w:bCs/>
          <w:kern w:val="44"/>
          <w:sz w:val="28"/>
          <w:szCs w:val="28"/>
        </w:rPr>
      </w:pPr>
      <w:r>
        <w:rPr>
          <w:rFonts w:ascii="仿宋_GB2312" w:eastAsia="仿宋_GB2312"/>
          <w:kern w:val="44"/>
          <w:sz w:val="28"/>
          <w:szCs w:val="28"/>
        </w:rPr>
        <w:br w:type="page"/>
      </w:r>
    </w:p>
    <w:p>
      <w:pPr>
        <w:pStyle w:val="30"/>
        <w:jc w:val="both"/>
        <w:rPr>
          <w:rFonts w:hint="eastAsia" w:ascii="仿宋_GB2312" w:hAnsi="Times New Roman" w:eastAsia="仿宋_GB2312"/>
          <w:kern w:val="44"/>
          <w:sz w:val="28"/>
          <w:szCs w:val="28"/>
        </w:rPr>
      </w:pPr>
      <w:r>
        <w:rPr>
          <w:rFonts w:hint="eastAsia" w:ascii="仿宋_GB2312" w:hAnsi="Times New Roman" w:eastAsia="仿宋_GB2312"/>
          <w:kern w:val="44"/>
          <w:sz w:val="28"/>
          <w:szCs w:val="28"/>
        </w:rPr>
        <w:t xml:space="preserve">第六部分  </w:t>
      </w:r>
    </w:p>
    <w:p>
      <w:pPr>
        <w:pStyle w:val="30"/>
        <w:rPr>
          <w:rFonts w:hint="eastAsia" w:ascii="仿宋_GB2312" w:hAnsi="Times New Roman" w:eastAsia="仿宋_GB2312"/>
          <w:kern w:val="44"/>
        </w:rPr>
      </w:pPr>
      <w:r>
        <w:rPr>
          <w:rFonts w:hint="eastAsia" w:ascii="仿宋_GB2312" w:hAnsi="Times New Roman" w:eastAsia="仿宋_GB2312"/>
          <w:kern w:val="44"/>
        </w:rPr>
        <w:t>开标与评标</w:t>
      </w:r>
      <w:bookmarkEnd w:id="32"/>
    </w:p>
    <w:p>
      <w:pPr>
        <w:spacing w:line="360" w:lineRule="auto"/>
        <w:ind w:right="-34" w:rightChars="-16"/>
        <w:rPr>
          <w:rFonts w:hint="eastAsia" w:ascii="仿宋_GB2312" w:eastAsia="仿宋_GB2312"/>
          <w:sz w:val="28"/>
          <w:szCs w:val="28"/>
        </w:rPr>
      </w:pPr>
      <w:r>
        <w:rPr>
          <w:rFonts w:hint="eastAsia" w:ascii="仿宋_GB2312" w:eastAsia="仿宋_GB2312"/>
          <w:sz w:val="28"/>
          <w:szCs w:val="28"/>
        </w:rPr>
        <w:t>1.开标</w:t>
      </w:r>
    </w:p>
    <w:p>
      <w:pPr>
        <w:spacing w:line="360" w:lineRule="auto"/>
        <w:ind w:right="-34" w:rightChars="-16" w:firstLine="560" w:firstLineChars="200"/>
        <w:rPr>
          <w:rFonts w:hint="eastAsia" w:ascii="仿宋_GB2312" w:eastAsia="仿宋_GB2312"/>
          <w:sz w:val="28"/>
          <w:szCs w:val="28"/>
        </w:rPr>
      </w:pPr>
      <w:r>
        <w:rPr>
          <w:rFonts w:hint="eastAsia" w:ascii="仿宋_GB2312" w:eastAsia="仿宋_GB2312"/>
          <w:sz w:val="28"/>
          <w:szCs w:val="28"/>
        </w:rPr>
        <w:t>招标方将组建招标小组。招标小组对“投标文件”进行审查、评估和比较。在规定的投标截止时间前，招标方将检查投标文件是否完整，是否正确签署等，有下列情况之一者投标无效：</w:t>
      </w:r>
    </w:p>
    <w:p>
      <w:pPr>
        <w:spacing w:line="360" w:lineRule="auto"/>
        <w:ind w:right="-34" w:rightChars="-16"/>
        <w:rPr>
          <w:rFonts w:hint="eastAsia" w:ascii="仿宋_GB2312" w:eastAsia="仿宋_GB2312"/>
          <w:sz w:val="28"/>
          <w:szCs w:val="28"/>
        </w:rPr>
      </w:pPr>
      <w:r>
        <w:rPr>
          <w:rFonts w:hint="eastAsia" w:ascii="仿宋_GB2312" w:eastAsia="仿宋_GB2312"/>
          <w:sz w:val="28"/>
          <w:szCs w:val="28"/>
        </w:rPr>
        <w:t>1.1投标文件未密封的；</w:t>
      </w:r>
    </w:p>
    <w:p>
      <w:pPr>
        <w:spacing w:line="360" w:lineRule="auto"/>
        <w:ind w:right="-34" w:rightChars="-16"/>
        <w:rPr>
          <w:rFonts w:hint="eastAsia" w:ascii="仿宋_GB2312" w:eastAsia="仿宋_GB2312"/>
          <w:sz w:val="28"/>
          <w:szCs w:val="28"/>
        </w:rPr>
      </w:pPr>
      <w:r>
        <w:rPr>
          <w:rFonts w:hint="eastAsia" w:ascii="仿宋_GB2312" w:eastAsia="仿宋_GB2312"/>
          <w:sz w:val="28"/>
          <w:szCs w:val="28"/>
        </w:rPr>
        <w:t>1.2未按规定的格式填写，关键内容不全或字迹模糊辨认不清；</w:t>
      </w:r>
    </w:p>
    <w:p>
      <w:pPr>
        <w:spacing w:line="360" w:lineRule="auto"/>
        <w:ind w:right="-34" w:rightChars="-16"/>
        <w:rPr>
          <w:rFonts w:hint="eastAsia" w:ascii="仿宋_GB2312" w:eastAsia="仿宋_GB2312"/>
          <w:sz w:val="28"/>
          <w:szCs w:val="28"/>
        </w:rPr>
      </w:pPr>
      <w:r>
        <w:rPr>
          <w:rFonts w:hint="eastAsia" w:ascii="仿宋_GB2312" w:eastAsia="仿宋_GB2312"/>
          <w:sz w:val="28"/>
          <w:szCs w:val="28"/>
        </w:rPr>
        <w:t>1.3投标函未加盖投标方企业公章、企业法定代表人(或授权代表人)未签字的；</w:t>
      </w:r>
    </w:p>
    <w:p>
      <w:pPr>
        <w:spacing w:line="360" w:lineRule="auto"/>
        <w:ind w:right="-34" w:rightChars="-16"/>
        <w:rPr>
          <w:rFonts w:hint="eastAsia" w:ascii="仿宋_GB2312" w:eastAsia="仿宋_GB2312"/>
          <w:sz w:val="28"/>
          <w:szCs w:val="28"/>
        </w:rPr>
      </w:pPr>
      <w:r>
        <w:rPr>
          <w:rFonts w:hint="eastAsia" w:ascii="仿宋_GB2312" w:eastAsia="仿宋_GB2312"/>
          <w:sz w:val="28"/>
          <w:szCs w:val="28"/>
        </w:rPr>
        <w:t>1.4超过投标截止时间尚未送交标书的。</w:t>
      </w:r>
    </w:p>
    <w:p>
      <w:pPr>
        <w:spacing w:line="360" w:lineRule="auto"/>
        <w:ind w:right="-34" w:rightChars="-16"/>
        <w:rPr>
          <w:rFonts w:hint="eastAsia" w:ascii="仿宋_GB2312" w:eastAsia="仿宋_GB2312"/>
          <w:sz w:val="28"/>
          <w:szCs w:val="28"/>
        </w:rPr>
      </w:pPr>
      <w:r>
        <w:rPr>
          <w:rFonts w:hint="eastAsia" w:ascii="仿宋_GB2312" w:eastAsia="仿宋_GB2312"/>
          <w:sz w:val="28"/>
          <w:szCs w:val="28"/>
        </w:rPr>
        <w:t>2.评标</w:t>
      </w:r>
    </w:p>
    <w:p>
      <w:pPr>
        <w:spacing w:line="360" w:lineRule="auto"/>
        <w:ind w:right="-34" w:rightChars="-16"/>
        <w:rPr>
          <w:rFonts w:hint="eastAsia" w:ascii="仿宋_GB2312" w:eastAsia="仿宋_GB2312"/>
          <w:sz w:val="28"/>
          <w:szCs w:val="28"/>
        </w:rPr>
      </w:pPr>
      <w:r>
        <w:rPr>
          <w:rFonts w:hint="eastAsia" w:ascii="仿宋_GB2312" w:eastAsia="仿宋_GB2312"/>
          <w:sz w:val="28"/>
          <w:szCs w:val="28"/>
        </w:rPr>
        <w:t>2.1本招标项目的投标方，均要通过资格审查。</w:t>
      </w:r>
    </w:p>
    <w:p>
      <w:pPr>
        <w:spacing w:line="360" w:lineRule="auto"/>
        <w:ind w:right="-34" w:rightChars="-16"/>
        <w:rPr>
          <w:rFonts w:hint="eastAsia" w:ascii="仿宋_GB2312" w:eastAsia="仿宋_GB2312"/>
          <w:sz w:val="28"/>
          <w:szCs w:val="28"/>
        </w:rPr>
      </w:pPr>
      <w:r>
        <w:rPr>
          <w:rFonts w:hint="eastAsia" w:ascii="仿宋_GB2312" w:eastAsia="仿宋_GB2312"/>
          <w:sz w:val="28"/>
          <w:szCs w:val="28"/>
        </w:rPr>
        <w:t>2.2招标小组可以个别要求投标方澄清其投标文件。有关澄清的要求与答复，应以书面形式进行，但不允许更改投标报价或投标的实质性内容。澄清文件将作为投标文件的组成部份。</w:t>
      </w:r>
    </w:p>
    <w:p>
      <w:pPr>
        <w:spacing w:line="360" w:lineRule="auto"/>
        <w:ind w:right="-34" w:rightChars="-16"/>
        <w:rPr>
          <w:rFonts w:hint="eastAsia" w:ascii="仿宋_GB2312" w:eastAsia="仿宋_GB2312"/>
          <w:sz w:val="28"/>
          <w:szCs w:val="28"/>
        </w:rPr>
      </w:pPr>
      <w:r>
        <w:rPr>
          <w:rFonts w:hint="eastAsia" w:ascii="仿宋_GB2312" w:eastAsia="仿宋_GB2312"/>
          <w:sz w:val="28"/>
          <w:szCs w:val="28"/>
        </w:rPr>
        <w:t>2.3在投标文件的审查、澄清、评价和比较以及授予合同的过程中，投标单位对招标单位和招标小组成员施加影响的任何行为，都将导致取消投标资格。</w:t>
      </w:r>
    </w:p>
    <w:p>
      <w:pPr>
        <w:spacing w:line="360" w:lineRule="auto"/>
        <w:ind w:right="-34" w:rightChars="-16"/>
        <w:rPr>
          <w:rFonts w:hint="eastAsia" w:ascii="仿宋_GB2312" w:eastAsia="仿宋_GB2312"/>
          <w:sz w:val="28"/>
          <w:szCs w:val="28"/>
        </w:rPr>
      </w:pPr>
      <w:r>
        <w:rPr>
          <w:rFonts w:hint="eastAsia" w:ascii="仿宋_GB2312" w:eastAsia="仿宋_GB2312"/>
          <w:sz w:val="28"/>
          <w:szCs w:val="28"/>
        </w:rPr>
        <w:t>2.4招标小组将遵照评标原则，公正、平等地对待所有投标方。参照《中华人民共和国招投标法》的规定执行。</w:t>
      </w:r>
    </w:p>
    <w:p>
      <w:pPr>
        <w:spacing w:line="360" w:lineRule="auto"/>
        <w:ind w:right="-34" w:rightChars="-16"/>
        <w:rPr>
          <w:rFonts w:hint="eastAsia" w:ascii="仿宋_GB2312" w:hAnsi="仿宋_GB2312" w:eastAsia="仿宋_GB2312" w:cs="仿宋_GB2312"/>
          <w:b/>
          <w:bCs/>
          <w:kern w:val="44"/>
          <w:sz w:val="28"/>
          <w:szCs w:val="28"/>
        </w:rPr>
      </w:pPr>
      <w:r>
        <w:rPr>
          <w:rFonts w:hint="eastAsia" w:ascii="仿宋_GB2312" w:eastAsia="仿宋_GB2312"/>
          <w:sz w:val="28"/>
          <w:szCs w:val="28"/>
        </w:rPr>
        <w:t>2.5.评标维度表如下：</w:t>
      </w:r>
    </w:p>
    <w:tbl>
      <w:tblPr>
        <w:tblStyle w:val="33"/>
        <w:tblW w:w="9570" w:type="dxa"/>
        <w:tblInd w:w="0" w:type="dxa"/>
        <w:tblLayout w:type="fixed"/>
        <w:tblCellMar>
          <w:top w:w="0" w:type="dxa"/>
          <w:left w:w="0" w:type="dxa"/>
          <w:bottom w:w="0" w:type="dxa"/>
          <w:right w:w="0" w:type="dxa"/>
        </w:tblCellMar>
      </w:tblPr>
      <w:tblGrid>
        <w:gridCol w:w="960"/>
        <w:gridCol w:w="1560"/>
        <w:gridCol w:w="5130"/>
        <w:gridCol w:w="960"/>
        <w:gridCol w:w="960"/>
      </w:tblGrid>
      <w:tr>
        <w:tblPrEx>
          <w:tblCellMar>
            <w:top w:w="0" w:type="dxa"/>
            <w:left w:w="0" w:type="dxa"/>
            <w:bottom w:w="0" w:type="dxa"/>
            <w:right w:w="0" w:type="dxa"/>
          </w:tblCellMar>
        </w:tblPrEx>
        <w:trPr>
          <w:trHeight w:val="420" w:hRule="atLeast"/>
        </w:trPr>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center"/>
              <w:textAlignment w:val="center"/>
              <w:rPr>
                <w:rFonts w:ascii="微软雅黑" w:hAnsi="微软雅黑" w:eastAsia="微软雅黑" w:cs="微软雅黑"/>
                <w:b/>
                <w:color w:val="000000"/>
                <w:sz w:val="20"/>
                <w:szCs w:val="20"/>
              </w:rPr>
            </w:pPr>
            <w:r>
              <w:rPr>
                <w:rFonts w:ascii="微软雅黑" w:hAnsi="微软雅黑" w:eastAsia="微软雅黑" w:cs="微软雅黑"/>
                <w:b/>
                <w:color w:val="000000"/>
                <w:kern w:val="0"/>
                <w:sz w:val="20"/>
                <w:szCs w:val="20"/>
                <w:lang w:bidi="ar"/>
              </w:rPr>
              <w:t>评价内容</w:t>
            </w:r>
          </w:p>
        </w:tc>
        <w:tc>
          <w:tcPr>
            <w:tcW w:w="156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center"/>
              <w:textAlignment w:val="center"/>
              <w:rPr>
                <w:rFonts w:ascii="微软雅黑" w:hAnsi="微软雅黑" w:eastAsia="微软雅黑" w:cs="微软雅黑"/>
                <w:b/>
                <w:color w:val="000000"/>
                <w:sz w:val="20"/>
                <w:szCs w:val="20"/>
              </w:rPr>
            </w:pPr>
            <w:r>
              <w:rPr>
                <w:rFonts w:ascii="微软雅黑" w:hAnsi="微软雅黑" w:eastAsia="微软雅黑" w:cs="微软雅黑"/>
                <w:b/>
                <w:color w:val="000000"/>
                <w:kern w:val="0"/>
                <w:sz w:val="20"/>
                <w:szCs w:val="20"/>
                <w:lang w:bidi="ar"/>
              </w:rPr>
              <w:t>评分细则</w:t>
            </w:r>
          </w:p>
        </w:tc>
        <w:tc>
          <w:tcPr>
            <w:tcW w:w="513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center"/>
              <w:textAlignment w:val="center"/>
              <w:rPr>
                <w:rFonts w:ascii="微软雅黑" w:hAnsi="微软雅黑" w:eastAsia="微软雅黑" w:cs="微软雅黑"/>
                <w:b/>
                <w:color w:val="000000"/>
                <w:sz w:val="20"/>
                <w:szCs w:val="20"/>
              </w:rPr>
            </w:pPr>
            <w:r>
              <w:rPr>
                <w:rFonts w:ascii="微软雅黑" w:hAnsi="微软雅黑" w:eastAsia="微软雅黑" w:cs="微软雅黑"/>
                <w:b/>
                <w:color w:val="000000"/>
                <w:kern w:val="0"/>
                <w:sz w:val="20"/>
                <w:szCs w:val="20"/>
                <w:lang w:bidi="ar"/>
              </w:rPr>
              <w:t>评价标准</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center"/>
              <w:textAlignment w:val="center"/>
              <w:rPr>
                <w:rFonts w:ascii="微软雅黑" w:hAnsi="微软雅黑" w:eastAsia="微软雅黑" w:cs="微软雅黑"/>
                <w:b/>
                <w:color w:val="000000"/>
                <w:sz w:val="20"/>
                <w:szCs w:val="20"/>
              </w:rPr>
            </w:pPr>
            <w:r>
              <w:rPr>
                <w:rFonts w:ascii="微软雅黑" w:hAnsi="微软雅黑" w:eastAsia="微软雅黑" w:cs="微软雅黑"/>
                <w:b/>
                <w:color w:val="000000"/>
                <w:kern w:val="0"/>
                <w:sz w:val="20"/>
                <w:szCs w:val="20"/>
                <w:lang w:bidi="ar"/>
              </w:rPr>
              <w:t>分值</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center"/>
              <w:textAlignment w:val="center"/>
              <w:rPr>
                <w:rFonts w:ascii="微软雅黑" w:hAnsi="微软雅黑" w:eastAsia="微软雅黑" w:cs="微软雅黑"/>
                <w:b/>
                <w:color w:val="000000"/>
                <w:sz w:val="20"/>
                <w:szCs w:val="20"/>
              </w:rPr>
            </w:pPr>
            <w:r>
              <w:rPr>
                <w:rFonts w:ascii="微软雅黑" w:hAnsi="微软雅黑" w:eastAsia="微软雅黑" w:cs="微软雅黑"/>
                <w:b/>
                <w:color w:val="000000"/>
                <w:kern w:val="0"/>
                <w:sz w:val="20"/>
                <w:szCs w:val="20"/>
                <w:lang w:bidi="ar"/>
              </w:rPr>
              <w:t>备注</w:t>
            </w:r>
          </w:p>
        </w:tc>
      </w:tr>
      <w:tr>
        <w:tblPrEx>
          <w:tblCellMar>
            <w:top w:w="0" w:type="dxa"/>
            <w:left w:w="0" w:type="dxa"/>
            <w:bottom w:w="0" w:type="dxa"/>
            <w:right w:w="0" w:type="dxa"/>
          </w:tblCellMar>
        </w:tblPrEx>
        <w:trPr>
          <w:trHeight w:val="740" w:hRule="atLeast"/>
        </w:trPr>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center"/>
              <w:textAlignment w:val="center"/>
              <w:rPr>
                <w:rFonts w:ascii="微软雅黑" w:hAnsi="微软雅黑" w:eastAsia="微软雅黑" w:cs="微软雅黑"/>
                <w:color w:val="000000"/>
                <w:sz w:val="18"/>
                <w:szCs w:val="18"/>
              </w:rPr>
            </w:pPr>
            <w:r>
              <w:rPr>
                <w:rFonts w:ascii="微软雅黑" w:hAnsi="微软雅黑" w:eastAsia="微软雅黑" w:cs="微软雅黑"/>
                <w:color w:val="000000"/>
                <w:kern w:val="0"/>
                <w:sz w:val="18"/>
                <w:szCs w:val="18"/>
                <w:lang w:bidi="ar"/>
              </w:rPr>
              <w:t>商务标</w:t>
            </w:r>
          </w:p>
        </w:tc>
        <w:tc>
          <w:tcPr>
            <w:tcW w:w="156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center"/>
              <w:textAlignment w:val="center"/>
              <w:rPr>
                <w:rFonts w:ascii="微软雅黑" w:hAnsi="微软雅黑" w:eastAsia="微软雅黑" w:cs="微软雅黑"/>
                <w:color w:val="000000"/>
                <w:sz w:val="18"/>
                <w:szCs w:val="18"/>
              </w:rPr>
            </w:pPr>
            <w:r>
              <w:rPr>
                <w:rFonts w:ascii="微软雅黑" w:hAnsi="微软雅黑" w:eastAsia="微软雅黑" w:cs="微软雅黑"/>
                <w:color w:val="000000"/>
                <w:kern w:val="0"/>
                <w:sz w:val="18"/>
                <w:szCs w:val="18"/>
                <w:lang w:bidi="ar"/>
              </w:rPr>
              <w:t>报价</w:t>
            </w:r>
          </w:p>
        </w:tc>
        <w:tc>
          <w:tcPr>
            <w:tcW w:w="513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left"/>
              <w:textAlignment w:val="center"/>
              <w:rPr>
                <w:rFonts w:ascii="微软雅黑" w:hAnsi="微软雅黑" w:eastAsia="微软雅黑" w:cs="微软雅黑"/>
                <w:color w:val="000000"/>
                <w:sz w:val="18"/>
                <w:szCs w:val="18"/>
              </w:rPr>
            </w:pPr>
            <w:r>
              <w:rPr>
                <w:rFonts w:ascii="微软雅黑" w:hAnsi="微软雅黑" w:eastAsia="微软雅黑" w:cs="微软雅黑"/>
                <w:color w:val="000000"/>
                <w:kern w:val="0"/>
                <w:sz w:val="18"/>
                <w:szCs w:val="18"/>
                <w:lang w:bidi="ar"/>
              </w:rPr>
              <w:t>劳务派遣管理费用、外包服务费用及招聘费用，按照最低报价作为基准分，按价格排序赋分</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hint="default" w:ascii="微软雅黑" w:hAnsi="微软雅黑" w:eastAsia="微软雅黑" w:cs="微软雅黑"/>
                <w:color w:val="000000"/>
                <w:sz w:val="20"/>
                <w:szCs w:val="20"/>
              </w:rPr>
            </w:pPr>
            <w:r>
              <w:rPr>
                <w:rFonts w:ascii="微软雅黑" w:hAnsi="微软雅黑" w:eastAsia="微软雅黑" w:cs="微软雅黑"/>
                <w:color w:val="000000"/>
                <w:kern w:val="0"/>
                <w:sz w:val="20"/>
                <w:szCs w:val="20"/>
                <w:lang w:bidi="ar"/>
              </w:rPr>
              <w:t>40</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center"/>
              <w:rPr>
                <w:rFonts w:ascii="微软雅黑" w:hAnsi="微软雅黑" w:eastAsia="微软雅黑" w:cs="微软雅黑"/>
                <w:color w:val="000000"/>
                <w:sz w:val="18"/>
                <w:szCs w:val="18"/>
              </w:rPr>
            </w:pPr>
          </w:p>
        </w:tc>
      </w:tr>
      <w:tr>
        <w:tblPrEx>
          <w:tblCellMar>
            <w:top w:w="0" w:type="dxa"/>
            <w:left w:w="0" w:type="dxa"/>
            <w:bottom w:w="0" w:type="dxa"/>
            <w:right w:w="0" w:type="dxa"/>
          </w:tblCellMar>
        </w:tblPrEx>
        <w:trPr>
          <w:trHeight w:val="1340" w:hRule="atLeast"/>
        </w:trPr>
        <w:tc>
          <w:tcPr>
            <w:tcW w:w="96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center"/>
              <w:textAlignment w:val="center"/>
              <w:rPr>
                <w:rFonts w:ascii="微软雅黑" w:hAnsi="微软雅黑" w:eastAsia="微软雅黑" w:cs="微软雅黑"/>
                <w:color w:val="000000"/>
                <w:sz w:val="18"/>
                <w:szCs w:val="18"/>
              </w:rPr>
            </w:pPr>
            <w:r>
              <w:rPr>
                <w:rFonts w:ascii="微软雅黑" w:hAnsi="微软雅黑" w:eastAsia="微软雅黑" w:cs="微软雅黑"/>
                <w:color w:val="000000"/>
                <w:kern w:val="0"/>
                <w:sz w:val="18"/>
                <w:szCs w:val="18"/>
                <w:lang w:bidi="ar"/>
              </w:rPr>
              <w:t>技术标</w:t>
            </w:r>
          </w:p>
        </w:tc>
        <w:tc>
          <w:tcPr>
            <w:tcW w:w="156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center"/>
              <w:textAlignment w:val="center"/>
              <w:rPr>
                <w:rFonts w:ascii="微软雅黑" w:hAnsi="微软雅黑" w:eastAsia="微软雅黑" w:cs="微软雅黑"/>
                <w:color w:val="000000"/>
                <w:sz w:val="18"/>
                <w:szCs w:val="18"/>
              </w:rPr>
            </w:pPr>
            <w:r>
              <w:rPr>
                <w:rFonts w:ascii="微软雅黑" w:hAnsi="微软雅黑" w:eastAsia="微软雅黑" w:cs="微软雅黑"/>
                <w:color w:val="000000"/>
                <w:kern w:val="0"/>
                <w:sz w:val="18"/>
                <w:szCs w:val="18"/>
                <w:lang w:bidi="ar"/>
              </w:rPr>
              <w:t>经营年限</w:t>
            </w:r>
          </w:p>
        </w:tc>
        <w:tc>
          <w:tcPr>
            <w:tcW w:w="513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numPr>
                <w:ilvl w:val="0"/>
                <w:numId w:val="4"/>
              </w:numPr>
              <w:jc w:val="left"/>
              <w:textAlignment w:val="center"/>
              <w:rPr>
                <w:rFonts w:ascii="微软雅黑" w:hAnsi="微软雅黑" w:eastAsia="微软雅黑" w:cs="微软雅黑"/>
                <w:color w:val="000000"/>
                <w:kern w:val="0"/>
                <w:sz w:val="18"/>
                <w:szCs w:val="18"/>
                <w:lang w:bidi="ar"/>
              </w:rPr>
            </w:pPr>
            <w:r>
              <w:rPr>
                <w:rFonts w:ascii="微软雅黑" w:hAnsi="微软雅黑" w:eastAsia="微软雅黑" w:cs="微软雅黑"/>
                <w:color w:val="000000"/>
                <w:kern w:val="0"/>
                <w:sz w:val="18"/>
                <w:szCs w:val="18"/>
                <w:lang w:bidi="ar"/>
              </w:rPr>
              <w:t>经营年限大于等于4年1分</w:t>
            </w:r>
            <w:r>
              <w:rPr>
                <w:rFonts w:ascii="微软雅黑" w:hAnsi="微软雅黑" w:eastAsia="微软雅黑" w:cs="微软雅黑"/>
                <w:color w:val="000000"/>
                <w:kern w:val="0"/>
                <w:sz w:val="18"/>
                <w:szCs w:val="18"/>
                <w:lang w:bidi="ar"/>
              </w:rPr>
              <w:br w:type="textWrapping"/>
            </w:r>
            <w:r>
              <w:rPr>
                <w:rFonts w:ascii="微软雅黑" w:hAnsi="微软雅黑" w:eastAsia="微软雅黑" w:cs="微软雅黑"/>
                <w:color w:val="000000"/>
                <w:kern w:val="0"/>
                <w:sz w:val="18"/>
                <w:szCs w:val="18"/>
                <w:lang w:bidi="ar"/>
              </w:rPr>
              <w:t>2、经营年限大于等于5年2分</w:t>
            </w:r>
            <w:r>
              <w:rPr>
                <w:rFonts w:ascii="微软雅黑" w:hAnsi="微软雅黑" w:eastAsia="微软雅黑" w:cs="微软雅黑"/>
                <w:color w:val="000000"/>
                <w:kern w:val="0"/>
                <w:sz w:val="18"/>
                <w:szCs w:val="18"/>
                <w:lang w:bidi="ar"/>
              </w:rPr>
              <w:br w:type="textWrapping"/>
            </w:r>
            <w:r>
              <w:rPr>
                <w:rFonts w:ascii="微软雅黑" w:hAnsi="微软雅黑" w:eastAsia="微软雅黑" w:cs="微软雅黑"/>
                <w:color w:val="000000"/>
                <w:kern w:val="0"/>
                <w:sz w:val="18"/>
                <w:szCs w:val="18"/>
                <w:lang w:bidi="ar"/>
              </w:rPr>
              <w:t>3、经营年限大于等于6年3分</w:t>
            </w:r>
            <w:r>
              <w:rPr>
                <w:rFonts w:ascii="微软雅黑" w:hAnsi="微软雅黑" w:eastAsia="微软雅黑" w:cs="微软雅黑"/>
                <w:color w:val="000000"/>
                <w:kern w:val="0"/>
                <w:sz w:val="18"/>
                <w:szCs w:val="18"/>
                <w:lang w:bidi="ar"/>
              </w:rPr>
              <w:br w:type="textWrapping"/>
            </w:r>
            <w:r>
              <w:rPr>
                <w:rFonts w:ascii="微软雅黑" w:hAnsi="微软雅黑" w:eastAsia="微软雅黑" w:cs="微软雅黑"/>
                <w:color w:val="000000"/>
                <w:kern w:val="0"/>
                <w:sz w:val="18"/>
                <w:szCs w:val="18"/>
                <w:lang w:bidi="ar"/>
              </w:rPr>
              <w:t>4、经营年限大于等于8年4分</w:t>
            </w:r>
            <w:r>
              <w:rPr>
                <w:rFonts w:ascii="微软雅黑" w:hAnsi="微软雅黑" w:eastAsia="微软雅黑" w:cs="微软雅黑"/>
                <w:color w:val="000000"/>
                <w:kern w:val="0"/>
                <w:sz w:val="18"/>
                <w:szCs w:val="18"/>
                <w:lang w:bidi="ar"/>
              </w:rPr>
              <w:br w:type="textWrapping"/>
            </w:r>
            <w:r>
              <w:rPr>
                <w:rFonts w:ascii="微软雅黑" w:hAnsi="微软雅黑" w:eastAsia="微软雅黑" w:cs="微软雅黑"/>
                <w:color w:val="000000"/>
                <w:kern w:val="0"/>
                <w:sz w:val="18"/>
                <w:szCs w:val="18"/>
                <w:lang w:bidi="ar"/>
              </w:rPr>
              <w:t>5、经营年限大于等于10年5分</w:t>
            </w:r>
          </w:p>
          <w:p>
            <w:pPr>
              <w:widowControl/>
              <w:jc w:val="left"/>
              <w:textAlignment w:val="center"/>
              <w:rPr>
                <w:rFonts w:ascii="微软雅黑" w:hAnsi="微软雅黑" w:eastAsia="微软雅黑" w:cs="微软雅黑"/>
                <w:color w:val="000000"/>
                <w:kern w:val="0"/>
                <w:sz w:val="18"/>
                <w:szCs w:val="18"/>
                <w:lang w:bidi="ar"/>
              </w:rPr>
            </w:pPr>
            <w:r>
              <w:rPr>
                <w:rFonts w:ascii="微软雅黑" w:hAnsi="微软雅黑" w:eastAsia="微软雅黑" w:cs="微软雅黑"/>
                <w:color w:val="000000"/>
                <w:kern w:val="0"/>
                <w:sz w:val="18"/>
                <w:szCs w:val="18"/>
                <w:lang w:bidi="ar"/>
              </w:rPr>
              <w:t>备注：通过营业执照体现</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微软雅黑" w:hAnsi="微软雅黑" w:eastAsia="微软雅黑" w:cs="微软雅黑"/>
                <w:color w:val="000000"/>
                <w:sz w:val="20"/>
                <w:szCs w:val="20"/>
              </w:rPr>
            </w:pPr>
            <w:r>
              <w:rPr>
                <w:rFonts w:ascii="微软雅黑" w:hAnsi="微软雅黑" w:eastAsia="微软雅黑" w:cs="微软雅黑"/>
                <w:color w:val="000000"/>
                <w:kern w:val="0"/>
                <w:sz w:val="20"/>
                <w:szCs w:val="20"/>
                <w:lang w:bidi="ar"/>
              </w:rPr>
              <w:t>5</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center"/>
              <w:rPr>
                <w:rFonts w:ascii="微软雅黑" w:hAnsi="微软雅黑" w:eastAsia="微软雅黑" w:cs="微软雅黑"/>
                <w:color w:val="000000"/>
                <w:sz w:val="18"/>
                <w:szCs w:val="18"/>
              </w:rPr>
            </w:pPr>
          </w:p>
        </w:tc>
      </w:tr>
      <w:tr>
        <w:tblPrEx>
          <w:tblCellMar>
            <w:top w:w="0" w:type="dxa"/>
            <w:left w:w="0" w:type="dxa"/>
            <w:bottom w:w="0" w:type="dxa"/>
            <w:right w:w="0" w:type="dxa"/>
          </w:tblCellMar>
        </w:tblPrEx>
        <w:trPr>
          <w:trHeight w:val="1100"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center"/>
              <w:rPr>
                <w:rFonts w:ascii="微软雅黑" w:hAnsi="微软雅黑" w:eastAsia="微软雅黑" w:cs="微软雅黑"/>
                <w:color w:val="000000"/>
                <w:sz w:val="18"/>
                <w:szCs w:val="18"/>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center"/>
              <w:textAlignment w:val="center"/>
              <w:rPr>
                <w:rFonts w:ascii="微软雅黑" w:hAnsi="微软雅黑" w:eastAsia="微软雅黑" w:cs="微软雅黑"/>
                <w:color w:val="000000"/>
                <w:sz w:val="18"/>
                <w:szCs w:val="18"/>
              </w:rPr>
            </w:pPr>
            <w:r>
              <w:rPr>
                <w:rFonts w:ascii="微软雅黑" w:hAnsi="微软雅黑" w:eastAsia="微软雅黑" w:cs="微软雅黑"/>
                <w:color w:val="000000"/>
                <w:kern w:val="0"/>
                <w:sz w:val="18"/>
                <w:szCs w:val="18"/>
                <w:lang w:bidi="ar"/>
              </w:rPr>
              <w:t>垫付能力</w:t>
            </w:r>
          </w:p>
        </w:tc>
        <w:tc>
          <w:tcPr>
            <w:tcW w:w="513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numPr>
                <w:ilvl w:val="0"/>
                <w:numId w:val="5"/>
              </w:numPr>
              <w:jc w:val="left"/>
              <w:textAlignment w:val="center"/>
              <w:rPr>
                <w:rFonts w:ascii="微软雅黑" w:hAnsi="微软雅黑" w:eastAsia="微软雅黑" w:cs="微软雅黑"/>
                <w:color w:val="000000"/>
                <w:kern w:val="0"/>
                <w:sz w:val="18"/>
                <w:szCs w:val="18"/>
                <w:lang w:bidi="ar"/>
              </w:rPr>
            </w:pPr>
            <w:r>
              <w:rPr>
                <w:rFonts w:ascii="微软雅黑" w:hAnsi="微软雅黑" w:eastAsia="微软雅黑" w:cs="微软雅黑"/>
                <w:color w:val="000000"/>
                <w:kern w:val="0"/>
                <w:sz w:val="18"/>
                <w:szCs w:val="18"/>
                <w:lang w:bidi="ar"/>
              </w:rPr>
              <w:t>垫付能力大于等于300万得2分</w:t>
            </w:r>
            <w:r>
              <w:rPr>
                <w:rFonts w:ascii="微软雅黑" w:hAnsi="微软雅黑" w:eastAsia="微软雅黑" w:cs="微软雅黑"/>
                <w:color w:val="000000"/>
                <w:kern w:val="0"/>
                <w:sz w:val="18"/>
                <w:szCs w:val="18"/>
                <w:lang w:bidi="ar"/>
              </w:rPr>
              <w:br w:type="textWrapping"/>
            </w:r>
            <w:r>
              <w:rPr>
                <w:rFonts w:ascii="微软雅黑" w:hAnsi="微软雅黑" w:eastAsia="微软雅黑" w:cs="微软雅黑"/>
                <w:color w:val="000000"/>
                <w:kern w:val="0"/>
                <w:sz w:val="18"/>
                <w:szCs w:val="18"/>
                <w:lang w:bidi="ar"/>
              </w:rPr>
              <w:t>2、垫付能力大于等于400万3分</w:t>
            </w:r>
            <w:r>
              <w:rPr>
                <w:rFonts w:ascii="微软雅黑" w:hAnsi="微软雅黑" w:eastAsia="微软雅黑" w:cs="微软雅黑"/>
                <w:color w:val="000000"/>
                <w:kern w:val="0"/>
                <w:sz w:val="18"/>
                <w:szCs w:val="18"/>
                <w:lang w:bidi="ar"/>
              </w:rPr>
              <w:br w:type="textWrapping"/>
            </w:r>
            <w:r>
              <w:rPr>
                <w:rFonts w:ascii="微软雅黑" w:hAnsi="微软雅黑" w:eastAsia="微软雅黑" w:cs="微软雅黑"/>
                <w:color w:val="000000"/>
                <w:kern w:val="0"/>
                <w:sz w:val="18"/>
                <w:szCs w:val="18"/>
                <w:lang w:bidi="ar"/>
              </w:rPr>
              <w:t xml:space="preserve">3、垫付能力大于等于500万4分  </w:t>
            </w:r>
          </w:p>
          <w:p>
            <w:pPr>
              <w:widowControl/>
              <w:jc w:val="left"/>
              <w:textAlignment w:val="center"/>
              <w:rPr>
                <w:rFonts w:ascii="微软雅黑" w:hAnsi="微软雅黑" w:eastAsia="微软雅黑" w:cs="微软雅黑"/>
                <w:color w:val="000000"/>
                <w:kern w:val="0"/>
                <w:sz w:val="18"/>
                <w:szCs w:val="18"/>
                <w:lang w:bidi="ar"/>
              </w:rPr>
            </w:pPr>
            <w:r>
              <w:rPr>
                <w:rFonts w:ascii="微软雅黑" w:hAnsi="微软雅黑" w:eastAsia="微软雅黑" w:cs="微软雅黑"/>
                <w:color w:val="000000"/>
                <w:kern w:val="0"/>
                <w:sz w:val="18"/>
                <w:szCs w:val="18"/>
                <w:lang w:bidi="ar"/>
              </w:rPr>
              <w:t xml:space="preserve">4、垫付能力大于等于600万5分  </w:t>
            </w:r>
          </w:p>
          <w:p>
            <w:pPr>
              <w:widowControl/>
              <w:jc w:val="left"/>
              <w:textAlignment w:val="center"/>
              <w:rPr>
                <w:rFonts w:ascii="微软雅黑" w:hAnsi="微软雅黑" w:eastAsia="微软雅黑" w:cs="微软雅黑"/>
                <w:color w:val="000000"/>
                <w:kern w:val="0"/>
                <w:sz w:val="18"/>
                <w:szCs w:val="18"/>
                <w:lang w:bidi="ar"/>
              </w:rPr>
            </w:pPr>
            <w:r>
              <w:rPr>
                <w:rFonts w:ascii="微软雅黑" w:hAnsi="微软雅黑" w:eastAsia="微软雅黑" w:cs="微软雅黑"/>
                <w:color w:val="000000"/>
                <w:kern w:val="0"/>
                <w:sz w:val="18"/>
                <w:szCs w:val="18"/>
                <w:lang w:bidi="ar"/>
              </w:rPr>
              <w:t>备注：近2年的审计报告、银行资信证明</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微软雅黑" w:hAnsi="微软雅黑" w:eastAsia="微软雅黑" w:cs="微软雅黑"/>
                <w:color w:val="000000"/>
                <w:sz w:val="20"/>
                <w:szCs w:val="20"/>
              </w:rPr>
            </w:pPr>
            <w:r>
              <w:rPr>
                <w:rFonts w:ascii="微软雅黑" w:hAnsi="微软雅黑" w:eastAsia="微软雅黑" w:cs="微软雅黑"/>
                <w:color w:val="000000"/>
                <w:kern w:val="0"/>
                <w:sz w:val="20"/>
                <w:szCs w:val="20"/>
                <w:lang w:bidi="ar"/>
              </w:rPr>
              <w:t>5</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center"/>
              <w:rPr>
                <w:rFonts w:ascii="微软雅黑" w:hAnsi="微软雅黑" w:eastAsia="微软雅黑" w:cs="微软雅黑"/>
                <w:color w:val="000000"/>
                <w:sz w:val="18"/>
                <w:szCs w:val="18"/>
              </w:rPr>
            </w:pPr>
          </w:p>
        </w:tc>
      </w:tr>
      <w:tr>
        <w:tblPrEx>
          <w:tblCellMar>
            <w:top w:w="0" w:type="dxa"/>
            <w:left w:w="0" w:type="dxa"/>
            <w:bottom w:w="0" w:type="dxa"/>
            <w:right w:w="0" w:type="dxa"/>
          </w:tblCellMar>
        </w:tblPrEx>
        <w:trPr>
          <w:trHeight w:val="2670"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center"/>
              <w:rPr>
                <w:rFonts w:ascii="微软雅黑" w:hAnsi="微软雅黑" w:eastAsia="微软雅黑" w:cs="微软雅黑"/>
                <w:color w:val="000000"/>
                <w:sz w:val="18"/>
                <w:szCs w:val="18"/>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center"/>
              <w:textAlignment w:val="center"/>
              <w:rPr>
                <w:rFonts w:ascii="微软雅黑" w:hAnsi="微软雅黑" w:eastAsia="微软雅黑" w:cs="微软雅黑"/>
                <w:color w:val="000000"/>
                <w:sz w:val="18"/>
                <w:szCs w:val="18"/>
              </w:rPr>
            </w:pPr>
            <w:r>
              <w:rPr>
                <w:rFonts w:ascii="微软雅黑" w:hAnsi="微软雅黑" w:eastAsia="微软雅黑" w:cs="微软雅黑"/>
                <w:color w:val="000000"/>
                <w:kern w:val="0"/>
                <w:sz w:val="18"/>
                <w:szCs w:val="18"/>
                <w:lang w:bidi="ar"/>
              </w:rPr>
              <w:t>社保购买</w:t>
            </w:r>
          </w:p>
        </w:tc>
        <w:tc>
          <w:tcPr>
            <w:tcW w:w="513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spacing w:after="180"/>
              <w:jc w:val="left"/>
              <w:textAlignment w:val="center"/>
              <w:rPr>
                <w:rFonts w:ascii="微软雅黑" w:hAnsi="微软雅黑" w:eastAsia="微软雅黑" w:cs="微软雅黑"/>
                <w:color w:val="000000"/>
                <w:kern w:val="0"/>
                <w:sz w:val="18"/>
                <w:szCs w:val="18"/>
                <w:lang w:bidi="ar"/>
              </w:rPr>
            </w:pPr>
            <w:r>
              <w:rPr>
                <w:rFonts w:ascii="微软雅黑" w:hAnsi="微软雅黑" w:eastAsia="微软雅黑" w:cs="微软雅黑"/>
                <w:color w:val="000000"/>
                <w:kern w:val="0"/>
                <w:sz w:val="18"/>
                <w:szCs w:val="18"/>
                <w:lang w:bidi="ar"/>
              </w:rPr>
              <w:t>1、社保缴纳对象：与合作伙伴建立劳动关系的全日制雇员必须缴纳社保；</w:t>
            </w:r>
            <w:r>
              <w:rPr>
                <w:rFonts w:ascii="微软雅黑" w:hAnsi="微软雅黑" w:eastAsia="微软雅黑" w:cs="微软雅黑"/>
                <w:color w:val="000000"/>
                <w:kern w:val="0"/>
                <w:sz w:val="18"/>
                <w:szCs w:val="18"/>
                <w:lang w:bidi="ar"/>
              </w:rPr>
              <w:br w:type="textWrapping"/>
            </w:r>
            <w:r>
              <w:rPr>
                <w:rFonts w:ascii="微软雅黑" w:hAnsi="微软雅黑" w:eastAsia="微软雅黑" w:cs="微软雅黑"/>
                <w:color w:val="000000"/>
                <w:kern w:val="0"/>
                <w:sz w:val="18"/>
                <w:szCs w:val="18"/>
                <w:lang w:bidi="ar"/>
              </w:rPr>
              <w:t>2、社保缴纳地：有全国社保缴纳资源，可为劳务派遣和外包员工进行全国范围异地缴纳；</w:t>
            </w:r>
            <w:r>
              <w:rPr>
                <w:rFonts w:ascii="微软雅黑" w:hAnsi="微软雅黑" w:eastAsia="微软雅黑" w:cs="微软雅黑"/>
                <w:color w:val="000000"/>
                <w:kern w:val="0"/>
                <w:sz w:val="18"/>
                <w:szCs w:val="18"/>
                <w:lang w:bidi="ar"/>
              </w:rPr>
              <w:br w:type="textWrapping"/>
            </w:r>
            <w:r>
              <w:rPr>
                <w:rFonts w:ascii="微软雅黑" w:hAnsi="微软雅黑" w:eastAsia="微软雅黑" w:cs="微软雅黑"/>
                <w:color w:val="000000"/>
                <w:kern w:val="0"/>
                <w:sz w:val="18"/>
                <w:szCs w:val="18"/>
                <w:lang w:bidi="ar"/>
              </w:rPr>
              <w:t>得分标准如下：已服务公司（选取一家案例）异地缴纳：</w:t>
            </w:r>
          </w:p>
          <w:p>
            <w:pPr>
              <w:widowControl/>
              <w:spacing w:after="180"/>
              <w:jc w:val="left"/>
              <w:textAlignment w:val="center"/>
              <w:rPr>
                <w:rFonts w:ascii="微软雅黑" w:hAnsi="微软雅黑" w:eastAsia="微软雅黑" w:cs="微软雅黑"/>
                <w:color w:val="000000"/>
                <w:kern w:val="0"/>
                <w:sz w:val="18"/>
                <w:szCs w:val="18"/>
                <w:lang w:bidi="ar"/>
              </w:rPr>
            </w:pPr>
            <w:r>
              <w:rPr>
                <w:rFonts w:ascii="微软雅黑" w:hAnsi="微软雅黑" w:eastAsia="微软雅黑" w:cs="微软雅黑"/>
                <w:color w:val="000000"/>
                <w:kern w:val="0"/>
                <w:sz w:val="18"/>
                <w:szCs w:val="18"/>
                <w:lang w:bidi="ar"/>
              </w:rPr>
              <w:t>50人以下得0分</w:t>
            </w:r>
          </w:p>
          <w:p>
            <w:pPr>
              <w:widowControl/>
              <w:spacing w:after="180"/>
              <w:jc w:val="left"/>
              <w:textAlignment w:val="center"/>
              <w:rPr>
                <w:rFonts w:ascii="微软雅黑" w:hAnsi="微软雅黑" w:eastAsia="微软雅黑" w:cs="微软雅黑"/>
                <w:color w:val="000000"/>
                <w:kern w:val="0"/>
                <w:sz w:val="18"/>
                <w:szCs w:val="18"/>
                <w:lang w:bidi="ar"/>
              </w:rPr>
            </w:pPr>
            <w:r>
              <w:rPr>
                <w:rFonts w:ascii="微软雅黑" w:hAnsi="微软雅黑" w:eastAsia="微软雅黑" w:cs="微软雅黑"/>
                <w:color w:val="000000"/>
                <w:kern w:val="0"/>
                <w:sz w:val="18"/>
                <w:szCs w:val="18"/>
                <w:lang w:bidi="ar"/>
              </w:rPr>
              <w:t>50人（含）-70得5分</w:t>
            </w:r>
          </w:p>
          <w:p>
            <w:pPr>
              <w:widowControl/>
              <w:spacing w:after="180"/>
              <w:jc w:val="left"/>
              <w:textAlignment w:val="center"/>
              <w:rPr>
                <w:rFonts w:ascii="微软雅黑" w:hAnsi="微软雅黑" w:eastAsia="微软雅黑" w:cs="微软雅黑"/>
                <w:color w:val="000000"/>
                <w:sz w:val="18"/>
                <w:szCs w:val="18"/>
              </w:rPr>
            </w:pPr>
            <w:r>
              <w:rPr>
                <w:rFonts w:ascii="微软雅黑" w:hAnsi="微软雅黑" w:eastAsia="微软雅黑" w:cs="微软雅黑"/>
                <w:color w:val="000000"/>
                <w:kern w:val="0"/>
                <w:sz w:val="18"/>
                <w:szCs w:val="18"/>
                <w:lang w:bidi="ar"/>
              </w:rPr>
              <w:t>100（含）以上得10分</w:t>
            </w:r>
            <w:r>
              <w:rPr>
                <w:rFonts w:ascii="微软雅黑" w:hAnsi="微软雅黑" w:eastAsia="微软雅黑" w:cs="微软雅黑"/>
                <w:color w:val="000000"/>
                <w:kern w:val="0"/>
                <w:sz w:val="18"/>
                <w:szCs w:val="18"/>
                <w:lang w:bidi="ar"/>
              </w:rPr>
              <w:br w:type="textWrapping"/>
            </w:r>
            <w:r>
              <w:rPr>
                <w:rFonts w:ascii="微软雅黑" w:hAnsi="微软雅黑" w:eastAsia="微软雅黑" w:cs="微软雅黑"/>
                <w:color w:val="000000"/>
                <w:kern w:val="0"/>
                <w:sz w:val="18"/>
                <w:szCs w:val="18"/>
                <w:lang w:bidi="ar"/>
              </w:rPr>
              <w:t>备注：提供为已服务公司劳派派遣和外包员工购买的证明。</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hint="default" w:ascii="微软雅黑" w:hAnsi="微软雅黑" w:eastAsia="微软雅黑" w:cs="微软雅黑"/>
                <w:color w:val="000000"/>
                <w:sz w:val="20"/>
                <w:szCs w:val="20"/>
              </w:rPr>
            </w:pPr>
            <w:r>
              <w:rPr>
                <w:rFonts w:ascii="微软雅黑" w:hAnsi="微软雅黑" w:eastAsia="微软雅黑" w:cs="微软雅黑"/>
                <w:color w:val="000000"/>
                <w:kern w:val="0"/>
                <w:sz w:val="20"/>
                <w:szCs w:val="20"/>
                <w:lang w:bidi="ar"/>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center"/>
              <w:rPr>
                <w:rFonts w:ascii="微软雅黑" w:hAnsi="微软雅黑" w:eastAsia="微软雅黑" w:cs="微软雅黑"/>
                <w:color w:val="000000"/>
                <w:sz w:val="18"/>
                <w:szCs w:val="18"/>
              </w:rPr>
            </w:pPr>
          </w:p>
        </w:tc>
      </w:tr>
      <w:tr>
        <w:tblPrEx>
          <w:tblCellMar>
            <w:top w:w="0" w:type="dxa"/>
            <w:left w:w="0" w:type="dxa"/>
            <w:bottom w:w="0" w:type="dxa"/>
            <w:right w:w="0" w:type="dxa"/>
          </w:tblCellMar>
        </w:tblPrEx>
        <w:trPr>
          <w:trHeight w:val="1900"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center"/>
              <w:rPr>
                <w:rFonts w:ascii="微软雅黑" w:hAnsi="微软雅黑" w:eastAsia="微软雅黑" w:cs="微软雅黑"/>
                <w:color w:val="000000"/>
                <w:sz w:val="18"/>
                <w:szCs w:val="18"/>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center"/>
              <w:textAlignment w:val="center"/>
              <w:rPr>
                <w:rFonts w:ascii="微软雅黑" w:hAnsi="微软雅黑" w:eastAsia="微软雅黑" w:cs="微软雅黑"/>
                <w:color w:val="000000"/>
                <w:kern w:val="0"/>
                <w:sz w:val="18"/>
                <w:szCs w:val="18"/>
                <w:lang w:bidi="ar"/>
              </w:rPr>
            </w:pPr>
            <w:r>
              <w:rPr>
                <w:rFonts w:ascii="微软雅黑" w:hAnsi="微软雅黑" w:eastAsia="微软雅黑" w:cs="微软雅黑"/>
                <w:color w:val="000000"/>
                <w:kern w:val="0"/>
                <w:sz w:val="18"/>
                <w:szCs w:val="18"/>
                <w:lang w:bidi="ar"/>
              </w:rPr>
              <w:t>项目方案</w:t>
            </w:r>
          </w:p>
        </w:tc>
        <w:tc>
          <w:tcPr>
            <w:tcW w:w="513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left"/>
              <w:textAlignment w:val="center"/>
              <w:rPr>
                <w:rFonts w:ascii="微软雅黑" w:hAnsi="微软雅黑" w:eastAsia="微软雅黑" w:cs="微软雅黑"/>
                <w:color w:val="000000"/>
                <w:kern w:val="0"/>
                <w:sz w:val="18"/>
                <w:szCs w:val="18"/>
                <w:lang w:bidi="ar"/>
              </w:rPr>
            </w:pPr>
            <w:r>
              <w:rPr>
                <w:rFonts w:ascii="微软雅黑" w:hAnsi="微软雅黑" w:eastAsia="微软雅黑" w:cs="微软雅黑"/>
                <w:color w:val="000000"/>
                <w:kern w:val="0"/>
                <w:sz w:val="18"/>
                <w:szCs w:val="18"/>
                <w:lang w:bidi="ar"/>
              </w:rPr>
              <w:t>提供本次投标项目提供具体项目启动方案，方案详细涵盖公司管理架构、管理人员配置、人员招聘、人员培训计划、风险管控等。</w:t>
            </w:r>
          </w:p>
          <w:p>
            <w:pPr>
              <w:widowControl/>
              <w:jc w:val="left"/>
              <w:textAlignment w:val="center"/>
              <w:rPr>
                <w:rFonts w:ascii="微软雅黑" w:hAnsi="微软雅黑" w:eastAsia="微软雅黑" w:cs="微软雅黑"/>
                <w:color w:val="000000"/>
                <w:kern w:val="0"/>
                <w:sz w:val="18"/>
                <w:szCs w:val="18"/>
                <w:lang w:bidi="ar"/>
              </w:rPr>
            </w:pPr>
            <w:r>
              <w:rPr>
                <w:rFonts w:ascii="微软雅黑" w:hAnsi="微软雅黑" w:eastAsia="微软雅黑" w:cs="微软雅黑"/>
                <w:color w:val="000000"/>
                <w:kern w:val="0"/>
                <w:sz w:val="18"/>
                <w:szCs w:val="18"/>
                <w:lang w:bidi="ar"/>
              </w:rPr>
              <w:t>方案详尽，管理责任到位，共10分。</w:t>
            </w:r>
          </w:p>
          <w:p>
            <w:pPr>
              <w:widowControl/>
              <w:jc w:val="left"/>
              <w:textAlignment w:val="center"/>
              <w:rPr>
                <w:rFonts w:ascii="微软雅黑" w:hAnsi="微软雅黑" w:eastAsia="微软雅黑" w:cs="微软雅黑"/>
                <w:color w:val="000000"/>
                <w:kern w:val="0"/>
                <w:sz w:val="18"/>
                <w:szCs w:val="18"/>
                <w:lang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center"/>
              <w:textAlignment w:val="center"/>
              <w:rPr>
                <w:rFonts w:ascii="微软雅黑" w:hAnsi="微软雅黑" w:eastAsia="微软雅黑" w:cs="微软雅黑"/>
                <w:color w:val="000000"/>
                <w:kern w:val="0"/>
                <w:sz w:val="20"/>
                <w:szCs w:val="20"/>
                <w:lang w:bidi="ar"/>
              </w:rPr>
            </w:pPr>
            <w:r>
              <w:rPr>
                <w:rFonts w:ascii="微软雅黑" w:hAnsi="微软雅黑" w:eastAsia="微软雅黑" w:cs="微软雅黑"/>
                <w:color w:val="000000"/>
                <w:kern w:val="0"/>
                <w:sz w:val="20"/>
                <w:szCs w:val="20"/>
                <w:lang w:bidi="ar"/>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center"/>
              <w:rPr>
                <w:rFonts w:ascii="微软雅黑" w:hAnsi="微软雅黑" w:eastAsia="微软雅黑" w:cs="微软雅黑"/>
                <w:color w:val="000000"/>
                <w:sz w:val="18"/>
                <w:szCs w:val="18"/>
              </w:rPr>
            </w:pPr>
          </w:p>
        </w:tc>
      </w:tr>
      <w:tr>
        <w:tblPrEx>
          <w:tblCellMar>
            <w:top w:w="0" w:type="dxa"/>
            <w:left w:w="0" w:type="dxa"/>
            <w:bottom w:w="0" w:type="dxa"/>
            <w:right w:w="0" w:type="dxa"/>
          </w:tblCellMar>
        </w:tblPrEx>
        <w:trPr>
          <w:trHeight w:val="1900"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center"/>
              <w:rPr>
                <w:rFonts w:ascii="微软雅黑" w:hAnsi="微软雅黑" w:eastAsia="微软雅黑" w:cs="微软雅黑"/>
                <w:color w:val="000000"/>
                <w:sz w:val="18"/>
                <w:szCs w:val="18"/>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center"/>
              <w:textAlignment w:val="center"/>
              <w:rPr>
                <w:rFonts w:ascii="微软雅黑" w:hAnsi="微软雅黑" w:eastAsia="微软雅黑" w:cs="微软雅黑"/>
                <w:color w:val="000000"/>
                <w:sz w:val="18"/>
                <w:szCs w:val="18"/>
              </w:rPr>
            </w:pPr>
            <w:r>
              <w:rPr>
                <w:rFonts w:ascii="微软雅黑" w:hAnsi="微软雅黑" w:eastAsia="微软雅黑" w:cs="微软雅黑"/>
                <w:color w:val="000000"/>
                <w:kern w:val="0"/>
                <w:sz w:val="18"/>
                <w:szCs w:val="18"/>
                <w:lang w:bidi="ar"/>
              </w:rPr>
              <w:t>运营团队</w:t>
            </w:r>
          </w:p>
        </w:tc>
        <w:tc>
          <w:tcPr>
            <w:tcW w:w="513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left"/>
              <w:textAlignment w:val="center"/>
              <w:rPr>
                <w:rFonts w:ascii="微软雅黑" w:hAnsi="微软雅黑" w:eastAsia="微软雅黑" w:cs="微软雅黑"/>
                <w:color w:val="000000"/>
                <w:kern w:val="0"/>
                <w:sz w:val="18"/>
                <w:szCs w:val="18"/>
                <w:lang w:bidi="ar"/>
              </w:rPr>
            </w:pPr>
            <w:r>
              <w:rPr>
                <w:rFonts w:ascii="微软雅黑" w:hAnsi="微软雅黑" w:eastAsia="微软雅黑" w:cs="微软雅黑"/>
                <w:color w:val="000000"/>
                <w:kern w:val="0"/>
                <w:sz w:val="18"/>
                <w:szCs w:val="18"/>
                <w:lang w:bidi="ar"/>
              </w:rPr>
              <w:t>1、是否有专业的客户服务团队？能否为客户提供个性化服务？（提供人员名单，服务案例等相关资料）</w:t>
            </w:r>
          </w:p>
          <w:p>
            <w:pPr>
              <w:widowControl/>
              <w:jc w:val="left"/>
              <w:textAlignment w:val="center"/>
              <w:rPr>
                <w:rFonts w:ascii="微软雅黑" w:hAnsi="微软雅黑" w:eastAsia="微软雅黑" w:cs="微软雅黑"/>
                <w:color w:val="000000"/>
                <w:kern w:val="0"/>
                <w:sz w:val="18"/>
                <w:szCs w:val="18"/>
                <w:lang w:bidi="ar"/>
              </w:rPr>
            </w:pPr>
            <w:r>
              <w:rPr>
                <w:rFonts w:ascii="微软雅黑" w:hAnsi="微软雅黑" w:eastAsia="微软雅黑" w:cs="微软雅黑"/>
                <w:color w:val="000000"/>
                <w:kern w:val="0"/>
                <w:sz w:val="18"/>
                <w:szCs w:val="18"/>
                <w:lang w:bidi="ar"/>
              </w:rPr>
              <w:t>2、能提供有经验并有人力资源从业证书的长期驻厂人员（在2020年度为其缴纳社保的证明复印件）</w:t>
            </w:r>
          </w:p>
          <w:p>
            <w:pPr>
              <w:widowControl/>
              <w:jc w:val="left"/>
              <w:textAlignment w:val="center"/>
              <w:rPr>
                <w:rFonts w:ascii="微软雅黑" w:hAnsi="微软雅黑" w:eastAsia="微软雅黑" w:cs="微软雅黑"/>
                <w:color w:val="000000"/>
                <w:sz w:val="18"/>
                <w:szCs w:val="18"/>
              </w:rPr>
            </w:pPr>
            <w:r>
              <w:rPr>
                <w:rFonts w:ascii="微软雅黑" w:hAnsi="微软雅黑" w:eastAsia="微软雅黑" w:cs="微软雅黑"/>
                <w:color w:val="000000"/>
                <w:kern w:val="0"/>
                <w:sz w:val="18"/>
                <w:szCs w:val="18"/>
                <w:lang w:bidi="ar"/>
              </w:rPr>
              <w:t>备注：需提供近三个月的社保缴纳证明。</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center"/>
              <w:textAlignment w:val="center"/>
              <w:rPr>
                <w:rFonts w:ascii="微软雅黑" w:hAnsi="微软雅黑" w:eastAsia="微软雅黑" w:cs="微软雅黑"/>
                <w:color w:val="000000"/>
                <w:sz w:val="20"/>
                <w:szCs w:val="20"/>
              </w:rPr>
            </w:pPr>
            <w:r>
              <w:rPr>
                <w:rFonts w:ascii="微软雅黑" w:hAnsi="微软雅黑" w:eastAsia="微软雅黑" w:cs="微软雅黑"/>
                <w:color w:val="000000"/>
                <w:kern w:val="0"/>
                <w:sz w:val="20"/>
                <w:szCs w:val="20"/>
                <w:lang w:bidi="ar"/>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center"/>
              <w:rPr>
                <w:rFonts w:ascii="微软雅黑" w:hAnsi="微软雅黑" w:eastAsia="微软雅黑" w:cs="微软雅黑"/>
                <w:color w:val="000000"/>
                <w:sz w:val="18"/>
                <w:szCs w:val="18"/>
              </w:rPr>
            </w:pPr>
          </w:p>
        </w:tc>
      </w:tr>
      <w:tr>
        <w:tblPrEx>
          <w:tblCellMar>
            <w:top w:w="0" w:type="dxa"/>
            <w:left w:w="0" w:type="dxa"/>
            <w:bottom w:w="0" w:type="dxa"/>
            <w:right w:w="0" w:type="dxa"/>
          </w:tblCellMar>
        </w:tblPrEx>
        <w:trPr>
          <w:trHeight w:val="1340"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center"/>
              <w:rPr>
                <w:rFonts w:ascii="微软雅黑" w:hAnsi="微软雅黑" w:eastAsia="微软雅黑" w:cs="微软雅黑"/>
                <w:color w:val="000000"/>
                <w:sz w:val="18"/>
                <w:szCs w:val="18"/>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center"/>
              <w:textAlignment w:val="center"/>
              <w:rPr>
                <w:rFonts w:ascii="微软雅黑" w:hAnsi="微软雅黑" w:eastAsia="微软雅黑" w:cs="微软雅黑"/>
                <w:color w:val="000000"/>
                <w:kern w:val="0"/>
                <w:sz w:val="18"/>
                <w:szCs w:val="18"/>
                <w:lang w:bidi="ar"/>
              </w:rPr>
            </w:pPr>
            <w:r>
              <w:rPr>
                <w:rFonts w:ascii="微软雅黑" w:hAnsi="微软雅黑" w:eastAsia="微软雅黑" w:cs="微软雅黑"/>
                <w:color w:val="000000"/>
                <w:kern w:val="0"/>
                <w:sz w:val="18"/>
                <w:szCs w:val="18"/>
                <w:lang w:bidi="ar"/>
              </w:rPr>
              <w:t>个性化服务能力</w:t>
            </w:r>
          </w:p>
        </w:tc>
        <w:tc>
          <w:tcPr>
            <w:tcW w:w="513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tabs>
                <w:tab w:val="left" w:pos="1807"/>
              </w:tabs>
              <w:jc w:val="left"/>
              <w:textAlignment w:val="center"/>
              <w:rPr>
                <w:rFonts w:ascii="微软雅黑" w:hAnsi="微软雅黑" w:eastAsia="微软雅黑" w:cs="微软雅黑"/>
                <w:color w:val="000000"/>
                <w:kern w:val="0"/>
                <w:sz w:val="18"/>
                <w:szCs w:val="18"/>
                <w:lang w:bidi="ar"/>
              </w:rPr>
            </w:pPr>
            <w:r>
              <w:rPr>
                <w:rFonts w:ascii="微软雅黑" w:hAnsi="微软雅黑" w:eastAsia="微软雅黑" w:cs="微软雅黑"/>
                <w:color w:val="000000"/>
                <w:kern w:val="0"/>
                <w:sz w:val="18"/>
                <w:szCs w:val="18"/>
                <w:lang w:bidi="ar"/>
              </w:rPr>
              <w:t>1、投标人在宁波大市范围内有服务网点，能及时迅速的处理项目问题</w:t>
            </w:r>
          </w:p>
          <w:p>
            <w:pPr>
              <w:widowControl/>
              <w:tabs>
                <w:tab w:val="left" w:pos="1807"/>
              </w:tabs>
              <w:jc w:val="left"/>
              <w:textAlignment w:val="center"/>
              <w:rPr>
                <w:rFonts w:ascii="微软雅黑" w:hAnsi="微软雅黑" w:eastAsia="微软雅黑" w:cs="微软雅黑"/>
                <w:color w:val="000000"/>
                <w:kern w:val="0"/>
                <w:sz w:val="18"/>
                <w:szCs w:val="18"/>
                <w:lang w:bidi="ar"/>
              </w:rPr>
            </w:pPr>
            <w:r>
              <w:rPr>
                <w:rFonts w:ascii="微软雅黑" w:hAnsi="微软雅黑" w:eastAsia="微软雅黑" w:cs="微软雅黑"/>
                <w:color w:val="000000"/>
                <w:kern w:val="0"/>
                <w:sz w:val="18"/>
                <w:szCs w:val="18"/>
                <w:lang w:bidi="ar"/>
              </w:rPr>
              <w:t>2、完善的跟踪服务方案，做好后续外包、派遣人员管理，客户满意度调查、数据统计和分析，方案制定完整且切实可行</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center"/>
              <w:textAlignment w:val="center"/>
              <w:rPr>
                <w:rFonts w:ascii="微软雅黑" w:hAnsi="微软雅黑" w:eastAsia="微软雅黑" w:cs="微软雅黑"/>
                <w:color w:val="000000"/>
                <w:kern w:val="0"/>
                <w:sz w:val="20"/>
                <w:szCs w:val="20"/>
                <w:lang w:bidi="ar"/>
              </w:rPr>
            </w:pPr>
            <w:r>
              <w:rPr>
                <w:rFonts w:ascii="微软雅黑" w:hAnsi="微软雅黑" w:eastAsia="微软雅黑" w:cs="微软雅黑"/>
                <w:color w:val="000000"/>
                <w:kern w:val="0"/>
                <w:sz w:val="20"/>
                <w:szCs w:val="20"/>
                <w:lang w:bidi="ar"/>
              </w:rPr>
              <w:t>5</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center"/>
              <w:rPr>
                <w:rFonts w:ascii="微软雅黑" w:hAnsi="微软雅黑" w:eastAsia="微软雅黑" w:cs="微软雅黑"/>
                <w:color w:val="000000"/>
                <w:sz w:val="18"/>
                <w:szCs w:val="18"/>
              </w:rPr>
            </w:pPr>
          </w:p>
        </w:tc>
      </w:tr>
      <w:tr>
        <w:tblPrEx>
          <w:tblCellMar>
            <w:top w:w="0" w:type="dxa"/>
            <w:left w:w="0" w:type="dxa"/>
            <w:bottom w:w="0" w:type="dxa"/>
            <w:right w:w="0" w:type="dxa"/>
          </w:tblCellMar>
        </w:tblPrEx>
        <w:trPr>
          <w:trHeight w:val="1340"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center"/>
              <w:rPr>
                <w:rFonts w:ascii="微软雅黑" w:hAnsi="微软雅黑" w:eastAsia="微软雅黑" w:cs="微软雅黑"/>
                <w:color w:val="000000"/>
                <w:sz w:val="18"/>
                <w:szCs w:val="18"/>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center"/>
              <w:textAlignment w:val="center"/>
              <w:rPr>
                <w:rFonts w:ascii="微软雅黑" w:hAnsi="微软雅黑" w:eastAsia="微软雅黑" w:cs="微软雅黑"/>
                <w:color w:val="000000"/>
                <w:sz w:val="18"/>
                <w:szCs w:val="18"/>
              </w:rPr>
            </w:pPr>
            <w:r>
              <w:rPr>
                <w:rFonts w:ascii="微软雅黑" w:hAnsi="微软雅黑" w:eastAsia="微软雅黑" w:cs="微软雅黑"/>
                <w:color w:val="000000"/>
                <w:kern w:val="0"/>
                <w:sz w:val="18"/>
                <w:szCs w:val="18"/>
                <w:lang w:bidi="ar"/>
              </w:rPr>
              <w:t>招聘能力</w:t>
            </w:r>
          </w:p>
        </w:tc>
        <w:tc>
          <w:tcPr>
            <w:tcW w:w="513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left"/>
              <w:textAlignment w:val="center"/>
              <w:rPr>
                <w:rFonts w:hint="default" w:ascii="微软雅黑" w:hAnsi="微软雅黑" w:eastAsia="微软雅黑" w:cs="微软雅黑"/>
                <w:color w:val="000000"/>
                <w:sz w:val="18"/>
                <w:szCs w:val="18"/>
              </w:rPr>
            </w:pPr>
            <w:r>
              <w:rPr>
                <w:rFonts w:ascii="微软雅黑" w:hAnsi="微软雅黑" w:eastAsia="微软雅黑" w:cs="微软雅黑"/>
                <w:color w:val="000000"/>
                <w:kern w:val="0"/>
                <w:sz w:val="18"/>
                <w:szCs w:val="18"/>
                <w:lang w:bidi="ar"/>
              </w:rPr>
              <w:t>提供招聘人员渠道获取的证明材料：如自有招聘合作协议/网络招聘协议/学校实习协议等。提供1个渠道5分，满分10分。</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center"/>
              <w:textAlignment w:val="center"/>
              <w:rPr>
                <w:rFonts w:hint="default" w:ascii="微软雅黑" w:hAnsi="微软雅黑" w:eastAsia="微软雅黑" w:cs="微软雅黑"/>
                <w:color w:val="000000"/>
                <w:sz w:val="20"/>
                <w:szCs w:val="20"/>
              </w:rPr>
            </w:pPr>
            <w:r>
              <w:rPr>
                <w:rFonts w:ascii="微软雅黑" w:hAnsi="微软雅黑" w:eastAsia="微软雅黑" w:cs="微软雅黑"/>
                <w:color w:val="000000"/>
                <w:kern w:val="0"/>
                <w:sz w:val="20"/>
                <w:szCs w:val="20"/>
                <w:lang w:bidi="ar"/>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center"/>
              <w:rPr>
                <w:rFonts w:ascii="微软雅黑" w:hAnsi="微软雅黑" w:eastAsia="微软雅黑" w:cs="微软雅黑"/>
                <w:color w:val="000000"/>
                <w:sz w:val="18"/>
                <w:szCs w:val="18"/>
              </w:rPr>
            </w:pPr>
          </w:p>
        </w:tc>
      </w:tr>
      <w:tr>
        <w:tblPrEx>
          <w:tblCellMar>
            <w:top w:w="0" w:type="dxa"/>
            <w:left w:w="0" w:type="dxa"/>
            <w:bottom w:w="0" w:type="dxa"/>
            <w:right w:w="0" w:type="dxa"/>
          </w:tblCellMar>
        </w:tblPrEx>
        <w:trPr>
          <w:trHeight w:val="2180"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center"/>
              <w:rPr>
                <w:rFonts w:ascii="微软雅黑" w:hAnsi="微软雅黑" w:eastAsia="微软雅黑" w:cs="微软雅黑"/>
                <w:color w:val="000000"/>
                <w:sz w:val="18"/>
                <w:szCs w:val="18"/>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center"/>
              <w:textAlignment w:val="center"/>
              <w:rPr>
                <w:rFonts w:ascii="微软雅黑" w:hAnsi="微软雅黑" w:eastAsia="微软雅黑" w:cs="微软雅黑"/>
                <w:color w:val="000000"/>
                <w:sz w:val="18"/>
                <w:szCs w:val="18"/>
              </w:rPr>
            </w:pPr>
            <w:r>
              <w:rPr>
                <w:rFonts w:ascii="微软雅黑" w:hAnsi="微软雅黑" w:eastAsia="微软雅黑" w:cs="微软雅黑"/>
                <w:color w:val="000000"/>
                <w:kern w:val="0"/>
                <w:sz w:val="18"/>
                <w:szCs w:val="18"/>
                <w:lang w:bidi="ar"/>
              </w:rPr>
              <w:t>行业经验</w:t>
            </w:r>
          </w:p>
        </w:tc>
        <w:tc>
          <w:tcPr>
            <w:tcW w:w="513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left"/>
              <w:textAlignment w:val="center"/>
              <w:rPr>
                <w:rFonts w:ascii="微软雅黑" w:hAnsi="微软雅黑" w:eastAsia="微软雅黑" w:cs="微软雅黑"/>
                <w:color w:val="000000"/>
                <w:kern w:val="0"/>
                <w:sz w:val="18"/>
                <w:szCs w:val="18"/>
                <w:lang w:bidi="ar"/>
              </w:rPr>
            </w:pPr>
            <w:r>
              <w:rPr>
                <w:rFonts w:ascii="微软雅黑" w:hAnsi="微软雅黑" w:eastAsia="微软雅黑" w:cs="微软雅黑"/>
                <w:color w:val="000000"/>
                <w:kern w:val="0"/>
                <w:sz w:val="18"/>
                <w:szCs w:val="18"/>
                <w:lang w:bidi="ar"/>
              </w:rPr>
              <w:t>1、有为1000人以上公司提供劳务派遣和外包服务案例（需提供有效合同），每增加1家公司加1分，共4分；</w:t>
            </w:r>
          </w:p>
          <w:p>
            <w:pPr>
              <w:widowControl/>
              <w:jc w:val="left"/>
              <w:textAlignment w:val="center"/>
              <w:rPr>
                <w:rFonts w:ascii="微软雅黑" w:hAnsi="微软雅黑" w:eastAsia="微软雅黑" w:cs="微软雅黑"/>
                <w:color w:val="000000"/>
                <w:kern w:val="0"/>
                <w:sz w:val="18"/>
                <w:szCs w:val="18"/>
                <w:lang w:bidi="ar"/>
              </w:rPr>
            </w:pPr>
            <w:r>
              <w:rPr>
                <w:rFonts w:ascii="微软雅黑" w:hAnsi="微软雅黑" w:eastAsia="微软雅黑" w:cs="微软雅黑"/>
                <w:color w:val="000000"/>
                <w:kern w:val="0"/>
                <w:sz w:val="18"/>
                <w:szCs w:val="18"/>
                <w:lang w:bidi="ar"/>
              </w:rPr>
              <w:t>2、有全国招聘人员，并异地缴纳社保案例（需提供有效合同），共6分。</w:t>
            </w:r>
          </w:p>
          <w:p>
            <w:pPr>
              <w:widowControl/>
              <w:jc w:val="left"/>
              <w:textAlignment w:val="center"/>
              <w:rPr>
                <w:rFonts w:ascii="微软雅黑" w:hAnsi="微软雅黑" w:eastAsia="微软雅黑" w:cs="微软雅黑"/>
                <w:color w:val="000000"/>
                <w:kern w:val="0"/>
                <w:sz w:val="18"/>
                <w:szCs w:val="18"/>
                <w:lang w:bidi="ar"/>
              </w:rPr>
            </w:pPr>
            <w:r>
              <w:rPr>
                <w:rFonts w:ascii="微软雅黑" w:hAnsi="微软雅黑" w:eastAsia="微软雅黑" w:cs="微软雅黑"/>
                <w:color w:val="000000"/>
                <w:kern w:val="0"/>
                <w:sz w:val="18"/>
                <w:szCs w:val="18"/>
                <w:lang w:bidi="ar"/>
              </w:rPr>
              <w:t>备注：</w:t>
            </w:r>
          </w:p>
          <w:p>
            <w:pPr>
              <w:widowControl/>
              <w:jc w:val="left"/>
              <w:textAlignment w:val="center"/>
              <w:rPr>
                <w:rFonts w:ascii="微软雅黑" w:hAnsi="微软雅黑" w:eastAsia="微软雅黑" w:cs="微软雅黑"/>
                <w:color w:val="000000"/>
                <w:sz w:val="18"/>
                <w:szCs w:val="18"/>
              </w:rPr>
            </w:pPr>
            <w:r>
              <w:rPr>
                <w:rFonts w:ascii="微软雅黑" w:hAnsi="微软雅黑" w:eastAsia="微软雅黑" w:cs="微软雅黑"/>
                <w:color w:val="000000"/>
                <w:kern w:val="0"/>
                <w:sz w:val="18"/>
                <w:szCs w:val="18"/>
                <w:lang w:bidi="ar"/>
              </w:rPr>
              <w:t>有效合同：需体现提供服务内容及呈现首末页，另甲乙方盖章签订时间清楚。</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jc w:val="center"/>
              <w:textAlignment w:val="center"/>
              <w:rPr>
                <w:rFonts w:ascii="微软雅黑" w:hAnsi="微软雅黑" w:eastAsia="微软雅黑" w:cs="微软雅黑"/>
                <w:color w:val="000000"/>
                <w:sz w:val="20"/>
                <w:szCs w:val="20"/>
              </w:rPr>
            </w:pPr>
            <w:r>
              <w:rPr>
                <w:rFonts w:ascii="微软雅黑" w:hAnsi="微软雅黑" w:eastAsia="微软雅黑" w:cs="微软雅黑"/>
                <w:color w:val="000000"/>
                <w:kern w:val="0"/>
                <w:sz w:val="20"/>
                <w:szCs w:val="20"/>
                <w:lang w:bidi="ar"/>
              </w:rPr>
              <w:t>5</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center"/>
              <w:rPr>
                <w:rFonts w:ascii="微软雅黑" w:hAnsi="微软雅黑" w:eastAsia="微软雅黑" w:cs="微软雅黑"/>
                <w:color w:val="000000"/>
                <w:sz w:val="18"/>
                <w:szCs w:val="18"/>
              </w:rPr>
            </w:pPr>
          </w:p>
        </w:tc>
      </w:tr>
      <w:tr>
        <w:tblPrEx>
          <w:tblCellMar>
            <w:top w:w="0" w:type="dxa"/>
            <w:left w:w="0" w:type="dxa"/>
            <w:bottom w:w="0" w:type="dxa"/>
            <w:right w:w="0" w:type="dxa"/>
          </w:tblCellMar>
        </w:tblPrEx>
        <w:trPr>
          <w:trHeight w:val="420"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b/>
                <w:color w:val="000000"/>
                <w:szCs w:val="21"/>
              </w:rPr>
            </w:pPr>
            <w:r>
              <w:rPr>
                <w:rFonts w:ascii="宋体" w:hAnsi="宋体" w:cs="宋体"/>
                <w:b/>
                <w:color w:val="000000"/>
                <w:kern w:val="0"/>
                <w:szCs w:val="21"/>
                <w:lang w:bidi="ar"/>
              </w:rPr>
              <w:t>汇总</w:t>
            </w: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b/>
                <w:color w:val="000000"/>
                <w:szCs w:val="21"/>
              </w:rPr>
            </w:pPr>
          </w:p>
        </w:tc>
        <w:tc>
          <w:tcPr>
            <w:tcW w:w="513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b/>
                <w:color w:val="000000"/>
                <w:szCs w:val="21"/>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b/>
                <w:color w:val="000000"/>
                <w:szCs w:val="21"/>
              </w:rPr>
            </w:pPr>
            <w:r>
              <w:rPr>
                <w:rFonts w:ascii="宋体" w:hAnsi="宋体" w:cs="宋体"/>
                <w:b/>
                <w:color w:val="000000"/>
                <w:kern w:val="0"/>
                <w:szCs w:val="21"/>
                <w:lang w:bidi="ar"/>
              </w:rPr>
              <w:t>100</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jc w:val="center"/>
              <w:rPr>
                <w:rFonts w:ascii="微软雅黑" w:hAnsi="微软雅黑" w:eastAsia="微软雅黑" w:cs="微软雅黑"/>
                <w:color w:val="000000"/>
                <w:sz w:val="18"/>
                <w:szCs w:val="18"/>
              </w:rPr>
            </w:pPr>
          </w:p>
        </w:tc>
      </w:tr>
    </w:tbl>
    <w:p>
      <w:pPr>
        <w:rPr>
          <w:rFonts w:hint="eastAsia" w:ascii="仿宋_GB2312" w:eastAsia="仿宋_GB2312"/>
          <w:b/>
          <w:bCs/>
          <w:kern w:val="44"/>
          <w:sz w:val="28"/>
          <w:szCs w:val="28"/>
        </w:rPr>
      </w:pPr>
      <w:bookmarkStart w:id="33" w:name="_Toc7913"/>
    </w:p>
    <w:p>
      <w:pPr>
        <w:widowControl/>
        <w:jc w:val="left"/>
        <w:rPr>
          <w:rFonts w:ascii="仿宋_GB2312" w:eastAsia="仿宋_GB2312"/>
          <w:b/>
          <w:bCs/>
          <w:kern w:val="44"/>
          <w:sz w:val="28"/>
          <w:szCs w:val="28"/>
        </w:rPr>
      </w:pPr>
      <w:r>
        <w:rPr>
          <w:rFonts w:ascii="仿宋_GB2312" w:eastAsia="仿宋_GB2312"/>
          <w:kern w:val="44"/>
          <w:sz w:val="28"/>
          <w:szCs w:val="28"/>
        </w:rPr>
        <w:br w:type="page"/>
      </w:r>
    </w:p>
    <w:p>
      <w:pPr>
        <w:pStyle w:val="30"/>
        <w:jc w:val="both"/>
        <w:rPr>
          <w:rFonts w:hint="eastAsia" w:ascii="仿宋_GB2312" w:hAnsi="Times New Roman" w:eastAsia="仿宋_GB2312"/>
          <w:kern w:val="44"/>
          <w:sz w:val="28"/>
          <w:szCs w:val="28"/>
        </w:rPr>
      </w:pPr>
      <w:r>
        <w:rPr>
          <w:rFonts w:hint="eastAsia" w:ascii="仿宋_GB2312" w:hAnsi="Times New Roman" w:eastAsia="仿宋_GB2312"/>
          <w:kern w:val="44"/>
          <w:sz w:val="28"/>
          <w:szCs w:val="28"/>
        </w:rPr>
        <w:t xml:space="preserve">第七部分 </w:t>
      </w:r>
    </w:p>
    <w:p>
      <w:pPr>
        <w:pStyle w:val="30"/>
        <w:rPr>
          <w:rFonts w:hint="eastAsia" w:ascii="仿宋_GB2312" w:hAnsi="Times New Roman" w:eastAsia="仿宋_GB2312"/>
          <w:kern w:val="44"/>
        </w:rPr>
      </w:pPr>
      <w:r>
        <w:rPr>
          <w:rFonts w:hint="eastAsia" w:ascii="仿宋_GB2312" w:hAnsi="Times New Roman" w:eastAsia="仿宋_GB2312"/>
          <w:kern w:val="44"/>
        </w:rPr>
        <w:t>中标通知</w:t>
      </w:r>
      <w:bookmarkEnd w:id="33"/>
    </w:p>
    <w:p>
      <w:pPr>
        <w:spacing w:line="360" w:lineRule="auto"/>
        <w:ind w:right="-34" w:rightChars="-16" w:firstLine="560" w:firstLineChars="200"/>
        <w:rPr>
          <w:rFonts w:hint="eastAsia" w:ascii="仿宋_GB2312" w:eastAsia="仿宋_GB2312"/>
          <w:sz w:val="28"/>
          <w:szCs w:val="28"/>
        </w:rPr>
      </w:pPr>
      <w:r>
        <w:rPr>
          <w:rFonts w:hint="eastAsia" w:ascii="仿宋_GB2312" w:eastAsia="仿宋_GB2312"/>
          <w:sz w:val="28"/>
          <w:szCs w:val="28"/>
        </w:rPr>
        <w:t>1.评标结束后，招标方将以邮件形式发出《中标通知书》，《中标通知书》一经发出即具备法律效力。</w:t>
      </w:r>
    </w:p>
    <w:p>
      <w:pPr>
        <w:spacing w:line="360" w:lineRule="auto"/>
        <w:ind w:right="-34" w:rightChars="-16" w:firstLine="560" w:firstLineChars="200"/>
        <w:rPr>
          <w:rFonts w:hint="eastAsia" w:ascii="仿宋_GB2312" w:eastAsia="仿宋_GB2312"/>
          <w:sz w:val="28"/>
          <w:szCs w:val="28"/>
        </w:rPr>
      </w:pPr>
      <w:r>
        <w:rPr>
          <w:rFonts w:hint="eastAsia" w:ascii="仿宋_GB2312" w:eastAsia="仿宋_GB2312"/>
          <w:sz w:val="28"/>
          <w:szCs w:val="28"/>
        </w:rPr>
        <w:t>2.《中标通知书》将是合同的一个组成部分。</w:t>
      </w:r>
    </w:p>
    <w:p>
      <w:pPr>
        <w:widowControl/>
        <w:jc w:val="left"/>
        <w:rPr>
          <w:rFonts w:ascii="仿宋_GB2312" w:hAnsi="仿宋_GB2312" w:eastAsia="仿宋_GB2312" w:cs="仿宋_GB2312"/>
          <w:b/>
          <w:bCs/>
          <w:kern w:val="44"/>
          <w:sz w:val="28"/>
          <w:szCs w:val="28"/>
        </w:rPr>
      </w:pPr>
      <w:r>
        <w:rPr>
          <w:rFonts w:ascii="仿宋_GB2312" w:hAnsi="仿宋_GB2312" w:eastAsia="仿宋_GB2312" w:cs="仿宋_GB2312"/>
          <w:kern w:val="44"/>
          <w:sz w:val="28"/>
          <w:szCs w:val="28"/>
        </w:rPr>
        <w:br w:type="page"/>
      </w:r>
    </w:p>
    <w:p>
      <w:pPr>
        <w:pStyle w:val="30"/>
        <w:jc w:val="both"/>
        <w:rPr>
          <w:rFonts w:hint="eastAsia" w:ascii="仿宋_GB2312" w:hAnsi="仿宋_GB2312" w:eastAsia="仿宋_GB2312" w:cs="仿宋_GB2312"/>
          <w:kern w:val="44"/>
          <w:sz w:val="28"/>
          <w:szCs w:val="28"/>
        </w:rPr>
      </w:pPr>
      <w:r>
        <w:rPr>
          <w:rFonts w:hint="eastAsia" w:ascii="仿宋_GB2312" w:hAnsi="仿宋_GB2312" w:eastAsia="仿宋_GB2312" w:cs="仿宋_GB2312"/>
          <w:kern w:val="44"/>
          <w:sz w:val="28"/>
          <w:szCs w:val="28"/>
        </w:rPr>
        <w:t xml:space="preserve">第八部分 </w:t>
      </w:r>
    </w:p>
    <w:p>
      <w:pPr>
        <w:pStyle w:val="30"/>
        <w:rPr>
          <w:rFonts w:hint="eastAsia" w:ascii="仿宋_GB2312" w:hAnsi="仿宋_GB2312" w:eastAsia="仿宋_GB2312" w:cs="仿宋_GB2312"/>
          <w:kern w:val="44"/>
        </w:rPr>
      </w:pPr>
      <w:r>
        <w:rPr>
          <w:rFonts w:hint="eastAsia" w:ascii="仿宋_GB2312" w:hAnsi="仿宋_GB2312" w:eastAsia="仿宋_GB2312" w:cs="仿宋_GB2312"/>
          <w:kern w:val="44"/>
        </w:rPr>
        <w:t>附件表格</w:t>
      </w:r>
      <w:bookmarkEnd w:id="23"/>
    </w:p>
    <w:p>
      <w:pPr>
        <w:spacing w:line="360" w:lineRule="auto"/>
        <w:ind w:right="-328" w:rightChars="-156"/>
        <w:rPr>
          <w:rFonts w:hint="eastAsia" w:ascii="仿宋_GB2312" w:hAnsi="仿宋_GB2312" w:eastAsia="仿宋_GB2312" w:cs="仿宋_GB2312"/>
          <w:b/>
          <w:sz w:val="24"/>
        </w:rPr>
      </w:pPr>
    </w:p>
    <w:p>
      <w:pPr>
        <w:spacing w:line="360" w:lineRule="auto"/>
        <w:ind w:right="-328" w:rightChars="-156"/>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附件1：投 标 函（格式）</w:t>
      </w:r>
    </w:p>
    <w:p>
      <w:pPr>
        <w:adjustRightInd w:val="0"/>
        <w:snapToGrid w:val="0"/>
        <w:spacing w:line="360" w:lineRule="auto"/>
        <w:ind w:firstLine="723" w:firstLineChars="200"/>
        <w:jc w:val="center"/>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rPr>
        <w:t>投 标 函</w:t>
      </w:r>
    </w:p>
    <w:p>
      <w:pPr>
        <w:adjustRightInd w:val="0"/>
        <w:snapToGrid w:val="0"/>
        <w:spacing w:line="360" w:lineRule="auto"/>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公司：</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根据贵方第</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号“</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项目”的邀请，正式授权下述签字人（姓名）</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代表投标方（投标单位的名称）</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，提交投标正本一式 1份，副本一式 1份。</w:t>
      </w:r>
    </w:p>
    <w:p>
      <w:pPr>
        <w:spacing w:line="360" w:lineRule="auto"/>
        <w:ind w:right="-15" w:rightChars="-7" w:firstLine="480" w:firstLineChars="200"/>
        <w:rPr>
          <w:rFonts w:hint="eastAsia" w:ascii="仿宋_GB2312" w:hAnsi="仿宋_GB2312" w:eastAsia="仿宋_GB2312" w:cs="仿宋_GB2312"/>
          <w:sz w:val="24"/>
        </w:rPr>
      </w:pPr>
    </w:p>
    <w:p>
      <w:pPr>
        <w:adjustRightInd w:val="0"/>
        <w:snapToGrid w:val="0"/>
        <w:spacing w:line="360" w:lineRule="auto"/>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据此函，投标方宣布同意如下：</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1.我方已详细审核全部招标文件。</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2.根据招标文件的规定，严格履行合同的责任和义务。</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3.同意从规定的开标日期起遵循本投标书，并在规定的投标有效期之前均具有约束力。</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4.同意向贵方提供可能另外要求的与投标有关的任何证据或资料。</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5.我方愿按《中华人民共和国民法典》履行自己的全部责任。</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6.我方同意招标文件之规定，遵守有关招标的各项规定。</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7.我们已认真研究了招标文件中的主要条款，具体意见我们已在“投标报价书”的有关说明一栏中作了阐述，除此以外我们并无异议。</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8.如果我们在接到中标通知后，没有按你们要求的时间签署正式合同，或坚持提出投标文件未提及的附加条件，那么我们同意你们有另选中标单位的权利。</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9.在签署及执行正式合同以前，本投标书连同你们发出的书面往来文件将作为我们双方之间的相互约束的组成部分。</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10.我们理解，你们并无义务必须接受最低报价的投标或收到的任何投标。</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11.我们保证在此次招标期间，不以任何方式行贿及搞不正之风，如有发现，愿被取消投标资格及接受有关部门的查处。</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12.我方保证所提供的全部报价和其它证明文件的真实性、合法性，并愿赔偿你方因上述报价和其它证明文件的瑕疵所蒙受的全部经济损失。</w:t>
      </w:r>
    </w:p>
    <w:p>
      <w:pPr>
        <w:adjustRightInd w:val="0"/>
        <w:snapToGrid w:val="0"/>
        <w:spacing w:line="360" w:lineRule="auto"/>
        <w:jc w:val="left"/>
        <w:rPr>
          <w:rFonts w:hint="eastAsia" w:ascii="仿宋_GB2312" w:hAnsi="仿宋_GB2312" w:eastAsia="仿宋_GB2312" w:cs="仿宋_GB2312"/>
          <w:sz w:val="28"/>
          <w:szCs w:val="28"/>
        </w:rPr>
      </w:pPr>
    </w:p>
    <w:p>
      <w:pPr>
        <w:adjustRightInd w:val="0"/>
        <w:snapToGrid w:val="0"/>
        <w:spacing w:line="360" w:lineRule="auto"/>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    位： （盖章）</w:t>
      </w:r>
    </w:p>
    <w:p>
      <w:pPr>
        <w:adjustRightInd w:val="0"/>
        <w:snapToGrid w:val="0"/>
        <w:spacing w:line="360" w:lineRule="auto"/>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地    址： </w:t>
      </w:r>
    </w:p>
    <w:p>
      <w:pPr>
        <w:adjustRightInd w:val="0"/>
        <w:snapToGrid w:val="0"/>
        <w:spacing w:line="360" w:lineRule="auto"/>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电    话： </w:t>
      </w:r>
    </w:p>
    <w:p>
      <w:pPr>
        <w:adjustRightInd w:val="0"/>
        <w:snapToGrid w:val="0"/>
        <w:spacing w:line="360" w:lineRule="auto"/>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传    真： </w:t>
      </w:r>
    </w:p>
    <w:p>
      <w:pPr>
        <w:adjustRightInd w:val="0"/>
        <w:snapToGrid w:val="0"/>
        <w:spacing w:line="360" w:lineRule="auto"/>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联 系 人： </w:t>
      </w:r>
    </w:p>
    <w:p>
      <w:pPr>
        <w:adjustRightInd w:val="0"/>
        <w:snapToGrid w:val="0"/>
        <w:spacing w:line="360" w:lineRule="auto"/>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时    间：     年   月   日</w:t>
      </w:r>
    </w:p>
    <w:p>
      <w:pPr>
        <w:pStyle w:val="15"/>
        <w:spacing w:line="440" w:lineRule="exact"/>
        <w:ind w:left="0" w:leftChars="0"/>
        <w:jc w:val="left"/>
        <w:rPr>
          <w:rFonts w:hint="eastAsia" w:ascii="仿宋_GB2312" w:hAnsi="仿宋_GB2312" w:eastAsia="仿宋_GB2312" w:cs="仿宋_GB2312"/>
          <w:b/>
          <w:color w:val="000000"/>
          <w:sz w:val="22"/>
          <w:szCs w:val="22"/>
        </w:rPr>
      </w:pPr>
      <w:r>
        <w:rPr>
          <w:rFonts w:hint="eastAsia" w:ascii="仿宋_GB2312" w:hAnsi="仿宋_GB2312" w:eastAsia="仿宋_GB2312" w:cs="仿宋_GB2312"/>
          <w:b/>
          <w:sz w:val="24"/>
        </w:rPr>
        <w:br w:type="page"/>
      </w:r>
      <w:r>
        <w:rPr>
          <w:rFonts w:hint="eastAsia" w:ascii="仿宋_GB2312" w:hAnsi="仿宋_GB2312" w:eastAsia="仿宋_GB2312" w:cs="仿宋_GB2312"/>
          <w:b/>
          <w:sz w:val="28"/>
          <w:szCs w:val="28"/>
        </w:rPr>
        <w:t>附件2：投标人基本情况表</w:t>
      </w:r>
    </w:p>
    <w:p>
      <w:pPr>
        <w:adjustRightInd w:val="0"/>
        <w:snapToGrid w:val="0"/>
        <w:spacing w:line="360" w:lineRule="auto"/>
        <w:ind w:firstLine="643" w:firstLineChars="200"/>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投标人基本情况表</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28"/>
        <w:gridCol w:w="1080"/>
        <w:gridCol w:w="1260"/>
        <w:gridCol w:w="1260"/>
        <w:gridCol w:w="1260"/>
        <w:gridCol w:w="2520"/>
      </w:tblGrid>
      <w:tr>
        <w:tblPrEx>
          <w:tblCellMar>
            <w:top w:w="0" w:type="dxa"/>
            <w:left w:w="28" w:type="dxa"/>
            <w:bottom w:w="0" w:type="dxa"/>
            <w:right w:w="28" w:type="dxa"/>
          </w:tblCellMar>
        </w:tblPrEx>
        <w:trPr>
          <w:cantSplit/>
          <w:trHeight w:val="540" w:hRule="atLeast"/>
        </w:trPr>
        <w:tc>
          <w:tcPr>
            <w:tcW w:w="1828" w:type="dxa"/>
            <w:tcBorders>
              <w:top w:val="double" w:color="auto" w:sz="4" w:space="0"/>
              <w:left w:val="double" w:color="auto" w:sz="4" w:space="0"/>
              <w:bottom w:val="single" w:color="auto" w:sz="6" w:space="0"/>
              <w:right w:val="single" w:color="auto" w:sz="6" w:space="0"/>
            </w:tcBorders>
            <w:vAlign w:val="center"/>
          </w:tcPr>
          <w:p>
            <w:pPr>
              <w:spacing w:line="240" w:lineRule="exact"/>
              <w:jc w:val="center"/>
              <w:rPr>
                <w:rFonts w:ascii="仿宋_GB2312" w:hAnsi="仿宋_GB2312" w:eastAsia="仿宋_GB2312" w:cs="仿宋_GB2312"/>
                <w:color w:val="000000"/>
                <w:sz w:val="22"/>
                <w:szCs w:val="28"/>
              </w:rPr>
            </w:pPr>
            <w:r>
              <w:rPr>
                <w:rFonts w:ascii="仿宋_GB2312" w:hAnsi="仿宋_GB2312" w:eastAsia="仿宋_GB2312" w:cs="仿宋_GB2312"/>
                <w:color w:val="000000"/>
                <w:sz w:val="22"/>
                <w:szCs w:val="28"/>
              </w:rPr>
              <w:t>投标人名称</w:t>
            </w:r>
          </w:p>
        </w:tc>
        <w:tc>
          <w:tcPr>
            <w:tcW w:w="7380" w:type="dxa"/>
            <w:gridSpan w:val="5"/>
            <w:tcBorders>
              <w:top w:val="double" w:color="auto" w:sz="4" w:space="0"/>
              <w:left w:val="single" w:color="auto" w:sz="6" w:space="0"/>
              <w:bottom w:val="single" w:color="auto" w:sz="6" w:space="0"/>
              <w:right w:val="double" w:color="auto" w:sz="4" w:space="0"/>
            </w:tcBorders>
            <w:vAlign w:val="center"/>
          </w:tcPr>
          <w:p>
            <w:pPr>
              <w:spacing w:line="240" w:lineRule="exact"/>
              <w:jc w:val="center"/>
              <w:rPr>
                <w:rFonts w:ascii="仿宋_GB2312" w:hAnsi="仿宋_GB2312" w:eastAsia="仿宋_GB2312" w:cs="仿宋_GB2312"/>
                <w:color w:val="00000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40" w:hRule="atLeast"/>
        </w:trPr>
        <w:tc>
          <w:tcPr>
            <w:tcW w:w="1828" w:type="dxa"/>
            <w:tcBorders>
              <w:top w:val="single" w:color="auto" w:sz="6" w:space="0"/>
              <w:left w:val="double" w:color="auto" w:sz="4" w:space="0"/>
              <w:bottom w:val="single" w:color="auto" w:sz="6" w:space="0"/>
              <w:right w:val="single" w:color="auto" w:sz="6" w:space="0"/>
            </w:tcBorders>
            <w:vAlign w:val="center"/>
          </w:tcPr>
          <w:p>
            <w:pPr>
              <w:spacing w:line="240" w:lineRule="exact"/>
              <w:jc w:val="center"/>
              <w:rPr>
                <w:rFonts w:ascii="仿宋_GB2312" w:hAnsi="仿宋_GB2312" w:eastAsia="仿宋_GB2312" w:cs="仿宋_GB2312"/>
                <w:color w:val="000000"/>
                <w:sz w:val="22"/>
                <w:szCs w:val="28"/>
              </w:rPr>
            </w:pPr>
            <w:r>
              <w:rPr>
                <w:rFonts w:ascii="仿宋_GB2312" w:hAnsi="仿宋_GB2312" w:eastAsia="仿宋_GB2312" w:cs="仿宋_GB2312"/>
                <w:color w:val="000000"/>
                <w:sz w:val="22"/>
                <w:szCs w:val="28"/>
              </w:rPr>
              <w:t>注册地址</w:t>
            </w:r>
          </w:p>
        </w:tc>
        <w:tc>
          <w:tcPr>
            <w:tcW w:w="3600" w:type="dxa"/>
            <w:gridSpan w:val="3"/>
            <w:tcBorders>
              <w:top w:val="single" w:color="auto" w:sz="6" w:space="0"/>
              <w:left w:val="single" w:color="auto" w:sz="6" w:space="0"/>
              <w:bottom w:val="single" w:color="auto" w:sz="6" w:space="0"/>
              <w:right w:val="single" w:color="auto" w:sz="6" w:space="0"/>
            </w:tcBorders>
            <w:vAlign w:val="center"/>
          </w:tcPr>
          <w:p>
            <w:pPr>
              <w:spacing w:line="240" w:lineRule="exact"/>
              <w:jc w:val="center"/>
              <w:rPr>
                <w:rFonts w:ascii="仿宋_GB2312" w:hAnsi="仿宋_GB2312" w:eastAsia="仿宋_GB2312" w:cs="仿宋_GB2312"/>
                <w:color w:val="000000"/>
                <w:sz w:val="22"/>
                <w:szCs w:val="28"/>
              </w:rPr>
            </w:pPr>
          </w:p>
        </w:tc>
        <w:tc>
          <w:tcPr>
            <w:tcW w:w="1260" w:type="dxa"/>
            <w:tcBorders>
              <w:top w:val="single" w:color="auto" w:sz="6" w:space="0"/>
              <w:left w:val="single" w:color="auto" w:sz="6" w:space="0"/>
              <w:bottom w:val="single" w:color="auto" w:sz="6" w:space="0"/>
              <w:right w:val="single" w:color="auto" w:sz="6" w:space="0"/>
            </w:tcBorders>
            <w:vAlign w:val="center"/>
          </w:tcPr>
          <w:p>
            <w:pPr>
              <w:spacing w:line="240" w:lineRule="exact"/>
              <w:jc w:val="center"/>
              <w:rPr>
                <w:rFonts w:ascii="仿宋_GB2312" w:hAnsi="仿宋_GB2312" w:eastAsia="仿宋_GB2312" w:cs="仿宋_GB2312"/>
                <w:color w:val="000000"/>
                <w:sz w:val="22"/>
                <w:szCs w:val="28"/>
              </w:rPr>
            </w:pPr>
            <w:r>
              <w:rPr>
                <w:rFonts w:ascii="仿宋_GB2312" w:hAnsi="仿宋_GB2312" w:eastAsia="仿宋_GB2312" w:cs="仿宋_GB2312"/>
                <w:color w:val="000000"/>
                <w:sz w:val="22"/>
                <w:szCs w:val="28"/>
              </w:rPr>
              <w:t>邮政编码</w:t>
            </w:r>
          </w:p>
        </w:tc>
        <w:tc>
          <w:tcPr>
            <w:tcW w:w="2520" w:type="dxa"/>
            <w:tcBorders>
              <w:top w:val="single" w:color="auto" w:sz="6" w:space="0"/>
              <w:left w:val="single" w:color="auto" w:sz="6" w:space="0"/>
              <w:bottom w:val="single" w:color="auto" w:sz="6" w:space="0"/>
              <w:right w:val="double" w:color="auto" w:sz="4" w:space="0"/>
            </w:tcBorders>
            <w:vAlign w:val="center"/>
          </w:tcPr>
          <w:p>
            <w:pPr>
              <w:spacing w:line="240" w:lineRule="exact"/>
              <w:jc w:val="center"/>
              <w:rPr>
                <w:rFonts w:ascii="仿宋_GB2312" w:hAnsi="仿宋_GB2312" w:eastAsia="仿宋_GB2312" w:cs="仿宋_GB2312"/>
                <w:color w:val="00000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40" w:hRule="atLeast"/>
        </w:trPr>
        <w:tc>
          <w:tcPr>
            <w:tcW w:w="1828" w:type="dxa"/>
            <w:vMerge w:val="restart"/>
            <w:tcBorders>
              <w:top w:val="single" w:color="auto" w:sz="6" w:space="0"/>
              <w:left w:val="double" w:color="auto" w:sz="4" w:space="0"/>
              <w:bottom w:val="single" w:color="auto" w:sz="6" w:space="0"/>
              <w:right w:val="single" w:color="auto" w:sz="6" w:space="0"/>
            </w:tcBorders>
            <w:vAlign w:val="center"/>
          </w:tcPr>
          <w:p>
            <w:pPr>
              <w:spacing w:line="240" w:lineRule="exact"/>
              <w:jc w:val="center"/>
              <w:rPr>
                <w:rFonts w:ascii="仿宋_GB2312" w:hAnsi="仿宋_GB2312" w:eastAsia="仿宋_GB2312" w:cs="仿宋_GB2312"/>
                <w:color w:val="000000"/>
                <w:sz w:val="22"/>
                <w:szCs w:val="28"/>
              </w:rPr>
            </w:pPr>
            <w:r>
              <w:rPr>
                <w:rFonts w:ascii="仿宋_GB2312" w:hAnsi="仿宋_GB2312" w:eastAsia="仿宋_GB2312" w:cs="仿宋_GB2312"/>
                <w:color w:val="000000"/>
                <w:sz w:val="22"/>
                <w:szCs w:val="28"/>
              </w:rPr>
              <w:t>联系方式</w:t>
            </w:r>
          </w:p>
        </w:tc>
        <w:tc>
          <w:tcPr>
            <w:tcW w:w="1080" w:type="dxa"/>
            <w:tcBorders>
              <w:top w:val="single" w:color="auto" w:sz="6" w:space="0"/>
              <w:left w:val="single" w:color="auto" w:sz="6" w:space="0"/>
              <w:bottom w:val="single" w:color="auto" w:sz="6" w:space="0"/>
              <w:right w:val="single" w:color="auto" w:sz="6" w:space="0"/>
            </w:tcBorders>
            <w:vAlign w:val="center"/>
          </w:tcPr>
          <w:p>
            <w:pPr>
              <w:spacing w:line="240" w:lineRule="exact"/>
              <w:jc w:val="center"/>
              <w:rPr>
                <w:rFonts w:ascii="仿宋_GB2312" w:hAnsi="仿宋_GB2312" w:eastAsia="仿宋_GB2312" w:cs="仿宋_GB2312"/>
                <w:color w:val="000000"/>
                <w:sz w:val="22"/>
                <w:szCs w:val="28"/>
              </w:rPr>
            </w:pPr>
            <w:r>
              <w:rPr>
                <w:rFonts w:ascii="仿宋_GB2312" w:hAnsi="仿宋_GB2312" w:eastAsia="仿宋_GB2312" w:cs="仿宋_GB2312"/>
                <w:color w:val="000000"/>
                <w:sz w:val="22"/>
                <w:szCs w:val="28"/>
              </w:rPr>
              <w:t>联系人</w:t>
            </w:r>
          </w:p>
        </w:tc>
        <w:tc>
          <w:tcPr>
            <w:tcW w:w="2520" w:type="dxa"/>
            <w:gridSpan w:val="2"/>
            <w:tcBorders>
              <w:top w:val="single" w:color="auto" w:sz="6" w:space="0"/>
              <w:left w:val="single" w:color="auto" w:sz="6" w:space="0"/>
              <w:bottom w:val="single" w:color="auto" w:sz="6" w:space="0"/>
              <w:right w:val="single" w:color="auto" w:sz="6" w:space="0"/>
            </w:tcBorders>
            <w:vAlign w:val="center"/>
          </w:tcPr>
          <w:p>
            <w:pPr>
              <w:spacing w:line="240" w:lineRule="exact"/>
              <w:jc w:val="center"/>
              <w:rPr>
                <w:rFonts w:ascii="仿宋_GB2312" w:hAnsi="仿宋_GB2312" w:eastAsia="仿宋_GB2312" w:cs="仿宋_GB2312"/>
                <w:color w:val="000000"/>
                <w:sz w:val="22"/>
                <w:szCs w:val="28"/>
              </w:rPr>
            </w:pPr>
          </w:p>
        </w:tc>
        <w:tc>
          <w:tcPr>
            <w:tcW w:w="1260" w:type="dxa"/>
            <w:tcBorders>
              <w:top w:val="single" w:color="auto" w:sz="6" w:space="0"/>
              <w:left w:val="single" w:color="auto" w:sz="6" w:space="0"/>
              <w:bottom w:val="single" w:color="auto" w:sz="6" w:space="0"/>
              <w:right w:val="single" w:color="auto" w:sz="6" w:space="0"/>
            </w:tcBorders>
            <w:vAlign w:val="center"/>
          </w:tcPr>
          <w:p>
            <w:pPr>
              <w:spacing w:line="240" w:lineRule="exact"/>
              <w:jc w:val="center"/>
              <w:rPr>
                <w:rFonts w:ascii="仿宋_GB2312" w:hAnsi="仿宋_GB2312" w:eastAsia="仿宋_GB2312" w:cs="仿宋_GB2312"/>
                <w:color w:val="000000"/>
                <w:sz w:val="22"/>
                <w:szCs w:val="28"/>
              </w:rPr>
            </w:pPr>
            <w:r>
              <w:rPr>
                <w:rFonts w:ascii="仿宋_GB2312" w:hAnsi="仿宋_GB2312" w:eastAsia="仿宋_GB2312" w:cs="仿宋_GB2312"/>
                <w:color w:val="000000"/>
                <w:sz w:val="22"/>
                <w:szCs w:val="28"/>
              </w:rPr>
              <w:t>电  话</w:t>
            </w:r>
          </w:p>
        </w:tc>
        <w:tc>
          <w:tcPr>
            <w:tcW w:w="2520" w:type="dxa"/>
            <w:tcBorders>
              <w:top w:val="single" w:color="auto" w:sz="6" w:space="0"/>
              <w:left w:val="single" w:color="auto" w:sz="6" w:space="0"/>
              <w:bottom w:val="single" w:color="auto" w:sz="6" w:space="0"/>
              <w:right w:val="double" w:color="auto" w:sz="4" w:space="0"/>
            </w:tcBorders>
            <w:vAlign w:val="center"/>
          </w:tcPr>
          <w:p>
            <w:pPr>
              <w:spacing w:line="240" w:lineRule="exact"/>
              <w:jc w:val="center"/>
              <w:rPr>
                <w:rFonts w:ascii="仿宋_GB2312" w:hAnsi="仿宋_GB2312" w:eastAsia="仿宋_GB2312" w:cs="仿宋_GB2312"/>
                <w:color w:val="00000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40" w:hRule="atLeast"/>
        </w:trPr>
        <w:tc>
          <w:tcPr>
            <w:tcW w:w="1828" w:type="dxa"/>
            <w:vMerge w:val="continue"/>
            <w:tcBorders>
              <w:top w:val="single" w:color="auto" w:sz="6" w:space="0"/>
              <w:left w:val="double" w:color="auto" w:sz="4" w:space="0"/>
              <w:bottom w:val="single" w:color="auto" w:sz="6" w:space="0"/>
              <w:right w:val="single" w:color="auto" w:sz="6" w:space="0"/>
            </w:tcBorders>
            <w:vAlign w:val="center"/>
          </w:tcPr>
          <w:p>
            <w:pPr>
              <w:spacing w:line="240" w:lineRule="exact"/>
              <w:jc w:val="center"/>
              <w:rPr>
                <w:rFonts w:ascii="仿宋_GB2312" w:hAnsi="仿宋_GB2312" w:eastAsia="仿宋_GB2312" w:cs="仿宋_GB2312"/>
                <w:color w:val="000000"/>
                <w:sz w:val="22"/>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spacing w:line="240" w:lineRule="exact"/>
              <w:jc w:val="center"/>
              <w:rPr>
                <w:rFonts w:ascii="仿宋_GB2312" w:hAnsi="仿宋_GB2312" w:eastAsia="仿宋_GB2312" w:cs="仿宋_GB2312"/>
                <w:color w:val="000000"/>
                <w:sz w:val="22"/>
                <w:szCs w:val="28"/>
              </w:rPr>
            </w:pPr>
            <w:r>
              <w:rPr>
                <w:rFonts w:ascii="仿宋_GB2312" w:hAnsi="仿宋_GB2312" w:eastAsia="仿宋_GB2312" w:cs="仿宋_GB2312"/>
                <w:color w:val="000000"/>
                <w:sz w:val="22"/>
                <w:szCs w:val="28"/>
              </w:rPr>
              <w:t>传真</w:t>
            </w:r>
          </w:p>
        </w:tc>
        <w:tc>
          <w:tcPr>
            <w:tcW w:w="2520" w:type="dxa"/>
            <w:gridSpan w:val="2"/>
            <w:tcBorders>
              <w:top w:val="single" w:color="auto" w:sz="6" w:space="0"/>
              <w:left w:val="single" w:color="auto" w:sz="6" w:space="0"/>
              <w:bottom w:val="single" w:color="auto" w:sz="6" w:space="0"/>
              <w:right w:val="single" w:color="auto" w:sz="6" w:space="0"/>
            </w:tcBorders>
            <w:vAlign w:val="center"/>
          </w:tcPr>
          <w:p>
            <w:pPr>
              <w:spacing w:line="240" w:lineRule="exact"/>
              <w:jc w:val="center"/>
              <w:rPr>
                <w:rFonts w:ascii="仿宋_GB2312" w:hAnsi="仿宋_GB2312" w:eastAsia="仿宋_GB2312" w:cs="仿宋_GB2312"/>
                <w:color w:val="000000"/>
                <w:sz w:val="22"/>
                <w:szCs w:val="28"/>
              </w:rPr>
            </w:pPr>
          </w:p>
        </w:tc>
        <w:tc>
          <w:tcPr>
            <w:tcW w:w="1260" w:type="dxa"/>
            <w:tcBorders>
              <w:top w:val="single" w:color="auto" w:sz="6" w:space="0"/>
              <w:left w:val="single" w:color="auto" w:sz="6" w:space="0"/>
              <w:bottom w:val="single" w:color="auto" w:sz="6" w:space="0"/>
              <w:right w:val="single" w:color="auto" w:sz="6" w:space="0"/>
            </w:tcBorders>
            <w:vAlign w:val="center"/>
          </w:tcPr>
          <w:p>
            <w:pPr>
              <w:spacing w:line="240" w:lineRule="exact"/>
              <w:jc w:val="center"/>
              <w:rPr>
                <w:rFonts w:ascii="仿宋_GB2312" w:hAnsi="仿宋_GB2312" w:eastAsia="仿宋_GB2312" w:cs="仿宋_GB2312"/>
                <w:color w:val="000000"/>
                <w:sz w:val="22"/>
                <w:szCs w:val="28"/>
              </w:rPr>
            </w:pPr>
            <w:r>
              <w:rPr>
                <w:rFonts w:ascii="仿宋_GB2312" w:hAnsi="仿宋_GB2312" w:eastAsia="仿宋_GB2312" w:cs="仿宋_GB2312"/>
                <w:color w:val="000000"/>
                <w:sz w:val="22"/>
                <w:szCs w:val="28"/>
              </w:rPr>
              <w:t>电子邮件</w:t>
            </w:r>
          </w:p>
        </w:tc>
        <w:tc>
          <w:tcPr>
            <w:tcW w:w="2520" w:type="dxa"/>
            <w:tcBorders>
              <w:top w:val="single" w:color="auto" w:sz="6" w:space="0"/>
              <w:left w:val="single" w:color="auto" w:sz="6" w:space="0"/>
              <w:bottom w:val="single" w:color="auto" w:sz="6" w:space="0"/>
              <w:right w:val="double" w:color="auto" w:sz="4" w:space="0"/>
            </w:tcBorders>
            <w:vAlign w:val="center"/>
          </w:tcPr>
          <w:p>
            <w:pPr>
              <w:spacing w:line="240" w:lineRule="exact"/>
              <w:jc w:val="center"/>
              <w:rPr>
                <w:rFonts w:ascii="仿宋_GB2312" w:hAnsi="仿宋_GB2312" w:eastAsia="仿宋_GB2312" w:cs="仿宋_GB2312"/>
                <w:color w:val="00000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40" w:hRule="atLeast"/>
        </w:trPr>
        <w:tc>
          <w:tcPr>
            <w:tcW w:w="1828" w:type="dxa"/>
            <w:tcBorders>
              <w:top w:val="single" w:color="auto" w:sz="6" w:space="0"/>
              <w:left w:val="double" w:color="auto" w:sz="4" w:space="0"/>
              <w:bottom w:val="single" w:color="auto" w:sz="6" w:space="0"/>
              <w:right w:val="single" w:color="auto" w:sz="6" w:space="0"/>
            </w:tcBorders>
            <w:vAlign w:val="center"/>
          </w:tcPr>
          <w:p>
            <w:pPr>
              <w:spacing w:line="240" w:lineRule="exact"/>
              <w:jc w:val="center"/>
              <w:rPr>
                <w:rFonts w:ascii="仿宋_GB2312" w:hAnsi="仿宋_GB2312" w:eastAsia="仿宋_GB2312" w:cs="仿宋_GB2312"/>
                <w:color w:val="000000"/>
                <w:sz w:val="22"/>
                <w:szCs w:val="28"/>
              </w:rPr>
            </w:pPr>
            <w:r>
              <w:rPr>
                <w:rFonts w:ascii="仿宋_GB2312" w:hAnsi="仿宋_GB2312" w:eastAsia="仿宋_GB2312" w:cs="仿宋_GB2312"/>
                <w:color w:val="000000"/>
                <w:sz w:val="22"/>
                <w:szCs w:val="28"/>
              </w:rPr>
              <w:t>法定代表人</w:t>
            </w:r>
          </w:p>
        </w:tc>
        <w:tc>
          <w:tcPr>
            <w:tcW w:w="1080" w:type="dxa"/>
            <w:tcBorders>
              <w:top w:val="single" w:color="auto" w:sz="6" w:space="0"/>
              <w:left w:val="single" w:color="auto" w:sz="6" w:space="0"/>
              <w:bottom w:val="single" w:color="auto" w:sz="6" w:space="0"/>
              <w:right w:val="single" w:color="auto" w:sz="6" w:space="0"/>
            </w:tcBorders>
            <w:vAlign w:val="center"/>
          </w:tcPr>
          <w:p>
            <w:pPr>
              <w:spacing w:line="240" w:lineRule="exact"/>
              <w:jc w:val="center"/>
              <w:rPr>
                <w:rFonts w:ascii="仿宋_GB2312" w:hAnsi="仿宋_GB2312" w:eastAsia="仿宋_GB2312" w:cs="仿宋_GB2312"/>
                <w:color w:val="000000"/>
                <w:sz w:val="22"/>
                <w:szCs w:val="28"/>
              </w:rPr>
            </w:pPr>
            <w:r>
              <w:rPr>
                <w:rFonts w:ascii="仿宋_GB2312" w:hAnsi="仿宋_GB2312" w:eastAsia="仿宋_GB2312" w:cs="仿宋_GB2312"/>
                <w:color w:val="000000"/>
                <w:sz w:val="22"/>
                <w:szCs w:val="28"/>
              </w:rPr>
              <w:t>姓名</w:t>
            </w:r>
          </w:p>
        </w:tc>
        <w:tc>
          <w:tcPr>
            <w:tcW w:w="2520" w:type="dxa"/>
            <w:gridSpan w:val="2"/>
            <w:tcBorders>
              <w:top w:val="single" w:color="auto" w:sz="6" w:space="0"/>
              <w:left w:val="single" w:color="auto" w:sz="6" w:space="0"/>
              <w:bottom w:val="single" w:color="auto" w:sz="6" w:space="0"/>
              <w:right w:val="single" w:color="auto" w:sz="6" w:space="0"/>
            </w:tcBorders>
            <w:vAlign w:val="center"/>
          </w:tcPr>
          <w:p>
            <w:pPr>
              <w:spacing w:line="240" w:lineRule="exact"/>
              <w:jc w:val="center"/>
              <w:rPr>
                <w:rFonts w:ascii="仿宋_GB2312" w:hAnsi="仿宋_GB2312" w:eastAsia="仿宋_GB2312" w:cs="仿宋_GB2312"/>
                <w:color w:val="000000"/>
                <w:sz w:val="22"/>
                <w:szCs w:val="28"/>
              </w:rPr>
            </w:pPr>
          </w:p>
        </w:tc>
        <w:tc>
          <w:tcPr>
            <w:tcW w:w="1260" w:type="dxa"/>
            <w:tcBorders>
              <w:top w:val="single" w:color="auto" w:sz="6" w:space="0"/>
              <w:left w:val="single" w:color="auto" w:sz="6" w:space="0"/>
              <w:bottom w:val="single" w:color="auto" w:sz="6" w:space="0"/>
              <w:right w:val="single" w:color="auto" w:sz="6" w:space="0"/>
            </w:tcBorders>
            <w:vAlign w:val="center"/>
          </w:tcPr>
          <w:p>
            <w:pPr>
              <w:spacing w:line="240" w:lineRule="exact"/>
              <w:jc w:val="center"/>
              <w:rPr>
                <w:rFonts w:ascii="仿宋_GB2312" w:hAnsi="仿宋_GB2312" w:eastAsia="仿宋_GB2312" w:cs="仿宋_GB2312"/>
                <w:color w:val="000000"/>
                <w:sz w:val="22"/>
                <w:szCs w:val="28"/>
              </w:rPr>
            </w:pPr>
            <w:r>
              <w:rPr>
                <w:rFonts w:ascii="仿宋_GB2312" w:hAnsi="仿宋_GB2312" w:eastAsia="仿宋_GB2312" w:cs="仿宋_GB2312"/>
                <w:color w:val="000000"/>
                <w:sz w:val="22"/>
                <w:szCs w:val="28"/>
              </w:rPr>
              <w:t>电话</w:t>
            </w:r>
          </w:p>
        </w:tc>
        <w:tc>
          <w:tcPr>
            <w:tcW w:w="2520" w:type="dxa"/>
            <w:tcBorders>
              <w:top w:val="single" w:color="auto" w:sz="6" w:space="0"/>
              <w:left w:val="single" w:color="auto" w:sz="6" w:space="0"/>
              <w:bottom w:val="single" w:color="auto" w:sz="6" w:space="0"/>
              <w:right w:val="double" w:color="auto" w:sz="4" w:space="0"/>
            </w:tcBorders>
            <w:vAlign w:val="center"/>
          </w:tcPr>
          <w:p>
            <w:pPr>
              <w:spacing w:line="240" w:lineRule="exact"/>
              <w:jc w:val="center"/>
              <w:rPr>
                <w:rFonts w:ascii="仿宋_GB2312" w:hAnsi="仿宋_GB2312" w:eastAsia="仿宋_GB2312" w:cs="仿宋_GB2312"/>
                <w:color w:val="00000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40" w:hRule="atLeast"/>
        </w:trPr>
        <w:tc>
          <w:tcPr>
            <w:tcW w:w="1828" w:type="dxa"/>
            <w:tcBorders>
              <w:top w:val="single" w:color="auto" w:sz="6" w:space="0"/>
              <w:left w:val="double" w:color="auto" w:sz="4" w:space="0"/>
              <w:bottom w:val="single" w:color="auto" w:sz="6" w:space="0"/>
              <w:right w:val="single" w:color="auto" w:sz="6" w:space="0"/>
            </w:tcBorders>
            <w:vAlign w:val="center"/>
          </w:tcPr>
          <w:p>
            <w:pPr>
              <w:spacing w:line="240" w:lineRule="exact"/>
              <w:jc w:val="center"/>
              <w:rPr>
                <w:rFonts w:ascii="仿宋_GB2312" w:hAnsi="仿宋_GB2312" w:eastAsia="仿宋_GB2312" w:cs="仿宋_GB2312"/>
                <w:color w:val="000000"/>
                <w:sz w:val="22"/>
                <w:szCs w:val="28"/>
              </w:rPr>
            </w:pPr>
            <w:r>
              <w:rPr>
                <w:rFonts w:ascii="仿宋_GB2312" w:hAnsi="仿宋_GB2312" w:eastAsia="仿宋_GB2312" w:cs="仿宋_GB2312"/>
                <w:color w:val="000000"/>
                <w:sz w:val="22"/>
                <w:szCs w:val="28"/>
              </w:rPr>
              <w:t>成立时间</w:t>
            </w:r>
          </w:p>
        </w:tc>
        <w:tc>
          <w:tcPr>
            <w:tcW w:w="2340" w:type="dxa"/>
            <w:gridSpan w:val="2"/>
            <w:tcBorders>
              <w:top w:val="single" w:color="auto" w:sz="6" w:space="0"/>
              <w:left w:val="single" w:color="auto" w:sz="6" w:space="0"/>
              <w:bottom w:val="single" w:color="auto" w:sz="6" w:space="0"/>
              <w:right w:val="single" w:color="auto" w:sz="6" w:space="0"/>
            </w:tcBorders>
            <w:vAlign w:val="center"/>
          </w:tcPr>
          <w:p>
            <w:pPr>
              <w:spacing w:line="240" w:lineRule="exact"/>
              <w:jc w:val="center"/>
              <w:rPr>
                <w:rFonts w:ascii="仿宋_GB2312" w:hAnsi="仿宋_GB2312" w:eastAsia="仿宋_GB2312" w:cs="仿宋_GB2312"/>
                <w:color w:val="000000"/>
                <w:sz w:val="22"/>
                <w:szCs w:val="28"/>
              </w:rPr>
            </w:pPr>
          </w:p>
        </w:tc>
        <w:tc>
          <w:tcPr>
            <w:tcW w:w="5040" w:type="dxa"/>
            <w:gridSpan w:val="3"/>
            <w:tcBorders>
              <w:top w:val="single" w:color="auto" w:sz="6" w:space="0"/>
              <w:left w:val="single" w:color="auto" w:sz="6" w:space="0"/>
              <w:bottom w:val="single" w:color="auto" w:sz="6" w:space="0"/>
              <w:right w:val="double" w:color="auto" w:sz="4" w:space="0"/>
            </w:tcBorders>
            <w:vAlign w:val="center"/>
          </w:tcPr>
          <w:p>
            <w:pPr>
              <w:spacing w:line="240" w:lineRule="exact"/>
              <w:jc w:val="center"/>
              <w:rPr>
                <w:rFonts w:ascii="仿宋_GB2312" w:hAnsi="仿宋_GB2312" w:eastAsia="仿宋_GB2312" w:cs="仿宋_GB2312"/>
                <w:color w:val="000000"/>
                <w:sz w:val="22"/>
                <w:szCs w:val="28"/>
              </w:rPr>
            </w:pPr>
            <w:r>
              <w:rPr>
                <w:rFonts w:ascii="仿宋_GB2312" w:hAnsi="仿宋_GB2312" w:eastAsia="仿宋_GB2312" w:cs="仿宋_GB2312"/>
                <w:color w:val="000000"/>
                <w:sz w:val="22"/>
                <w:szCs w:val="28"/>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40" w:hRule="atLeast"/>
        </w:trPr>
        <w:tc>
          <w:tcPr>
            <w:tcW w:w="1828" w:type="dxa"/>
            <w:tcBorders>
              <w:top w:val="single" w:color="auto" w:sz="6" w:space="0"/>
              <w:left w:val="double" w:color="auto" w:sz="4" w:space="0"/>
              <w:bottom w:val="single" w:color="auto" w:sz="6" w:space="0"/>
              <w:right w:val="single" w:color="auto" w:sz="6" w:space="0"/>
            </w:tcBorders>
            <w:vAlign w:val="center"/>
          </w:tcPr>
          <w:p>
            <w:pPr>
              <w:spacing w:line="240" w:lineRule="exact"/>
              <w:jc w:val="center"/>
              <w:rPr>
                <w:rFonts w:ascii="仿宋_GB2312" w:hAnsi="仿宋_GB2312" w:eastAsia="仿宋_GB2312" w:cs="仿宋_GB2312"/>
                <w:color w:val="000000"/>
                <w:sz w:val="22"/>
                <w:szCs w:val="28"/>
              </w:rPr>
            </w:pPr>
            <w:r>
              <w:rPr>
                <w:rFonts w:ascii="仿宋_GB2312" w:hAnsi="仿宋_GB2312" w:eastAsia="仿宋_GB2312" w:cs="仿宋_GB2312"/>
                <w:color w:val="000000"/>
                <w:sz w:val="22"/>
                <w:szCs w:val="28"/>
              </w:rPr>
              <w:t>营业执照（法人证书）号</w:t>
            </w:r>
          </w:p>
        </w:tc>
        <w:tc>
          <w:tcPr>
            <w:tcW w:w="7380" w:type="dxa"/>
            <w:gridSpan w:val="5"/>
            <w:tcBorders>
              <w:top w:val="single" w:color="auto" w:sz="6" w:space="0"/>
              <w:left w:val="single" w:color="auto" w:sz="6" w:space="0"/>
              <w:bottom w:val="single" w:color="auto" w:sz="6" w:space="0"/>
              <w:right w:val="double" w:color="auto" w:sz="4" w:space="0"/>
            </w:tcBorders>
            <w:vAlign w:val="center"/>
          </w:tcPr>
          <w:p>
            <w:pPr>
              <w:spacing w:line="240" w:lineRule="exact"/>
              <w:jc w:val="center"/>
              <w:rPr>
                <w:rFonts w:ascii="仿宋_GB2312" w:hAnsi="仿宋_GB2312" w:eastAsia="仿宋_GB2312" w:cs="仿宋_GB2312"/>
                <w:color w:val="00000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40" w:hRule="atLeast"/>
        </w:trPr>
        <w:tc>
          <w:tcPr>
            <w:tcW w:w="1828" w:type="dxa"/>
            <w:tcBorders>
              <w:top w:val="single" w:color="auto" w:sz="6" w:space="0"/>
              <w:left w:val="double" w:color="auto" w:sz="4" w:space="0"/>
              <w:bottom w:val="single" w:color="auto" w:sz="6" w:space="0"/>
              <w:right w:val="single" w:color="auto" w:sz="6" w:space="0"/>
            </w:tcBorders>
            <w:vAlign w:val="center"/>
          </w:tcPr>
          <w:p>
            <w:pPr>
              <w:spacing w:line="240" w:lineRule="exact"/>
              <w:jc w:val="center"/>
              <w:rPr>
                <w:rFonts w:ascii="仿宋_GB2312" w:hAnsi="仿宋_GB2312" w:eastAsia="仿宋_GB2312" w:cs="仿宋_GB2312"/>
                <w:color w:val="000000"/>
                <w:sz w:val="22"/>
                <w:szCs w:val="28"/>
              </w:rPr>
            </w:pPr>
            <w:r>
              <w:rPr>
                <w:rFonts w:ascii="仿宋_GB2312" w:hAnsi="仿宋_GB2312" w:eastAsia="仿宋_GB2312" w:cs="仿宋_GB2312"/>
                <w:color w:val="000000"/>
                <w:sz w:val="22"/>
                <w:szCs w:val="28"/>
              </w:rPr>
              <w:t>注册资金</w:t>
            </w:r>
          </w:p>
        </w:tc>
        <w:tc>
          <w:tcPr>
            <w:tcW w:w="7380" w:type="dxa"/>
            <w:gridSpan w:val="5"/>
            <w:tcBorders>
              <w:top w:val="single" w:color="auto" w:sz="6" w:space="0"/>
              <w:left w:val="single" w:color="auto" w:sz="6" w:space="0"/>
              <w:bottom w:val="single" w:color="auto" w:sz="6" w:space="0"/>
              <w:right w:val="double" w:color="auto" w:sz="4" w:space="0"/>
            </w:tcBorders>
            <w:vAlign w:val="center"/>
          </w:tcPr>
          <w:p>
            <w:pPr>
              <w:spacing w:line="240" w:lineRule="exact"/>
              <w:jc w:val="center"/>
              <w:rPr>
                <w:rFonts w:ascii="仿宋_GB2312" w:hAnsi="仿宋_GB2312" w:eastAsia="仿宋_GB2312" w:cs="仿宋_GB2312"/>
                <w:color w:val="00000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91" w:hRule="atLeast"/>
        </w:trPr>
        <w:tc>
          <w:tcPr>
            <w:tcW w:w="1828" w:type="dxa"/>
            <w:tcBorders>
              <w:top w:val="single" w:color="auto" w:sz="6" w:space="0"/>
              <w:left w:val="double" w:color="auto" w:sz="4" w:space="0"/>
              <w:bottom w:val="single" w:color="auto" w:sz="6" w:space="0"/>
              <w:right w:val="single" w:color="auto" w:sz="6" w:space="0"/>
            </w:tcBorders>
            <w:vAlign w:val="center"/>
          </w:tcPr>
          <w:p>
            <w:pPr>
              <w:spacing w:line="240" w:lineRule="exact"/>
              <w:jc w:val="center"/>
              <w:rPr>
                <w:rFonts w:ascii="仿宋_GB2312" w:hAnsi="仿宋_GB2312" w:eastAsia="仿宋_GB2312" w:cs="仿宋_GB2312"/>
                <w:color w:val="000000"/>
                <w:sz w:val="22"/>
                <w:szCs w:val="28"/>
              </w:rPr>
            </w:pPr>
            <w:r>
              <w:rPr>
                <w:rFonts w:ascii="仿宋_GB2312" w:hAnsi="仿宋_GB2312" w:eastAsia="仿宋_GB2312" w:cs="仿宋_GB2312"/>
                <w:color w:val="000000"/>
                <w:sz w:val="22"/>
                <w:szCs w:val="28"/>
              </w:rPr>
              <w:t>基本帐户开户银行</w:t>
            </w:r>
          </w:p>
        </w:tc>
        <w:tc>
          <w:tcPr>
            <w:tcW w:w="7380" w:type="dxa"/>
            <w:gridSpan w:val="5"/>
            <w:tcBorders>
              <w:top w:val="single" w:color="auto" w:sz="6" w:space="0"/>
              <w:left w:val="single" w:color="auto" w:sz="6" w:space="0"/>
              <w:bottom w:val="single" w:color="auto" w:sz="6" w:space="0"/>
              <w:right w:val="double" w:color="auto" w:sz="4" w:space="0"/>
            </w:tcBorders>
            <w:vAlign w:val="center"/>
          </w:tcPr>
          <w:p>
            <w:pPr>
              <w:spacing w:line="240" w:lineRule="exact"/>
              <w:jc w:val="center"/>
              <w:rPr>
                <w:rFonts w:ascii="仿宋_GB2312" w:hAnsi="仿宋_GB2312" w:eastAsia="仿宋_GB2312" w:cs="仿宋_GB2312"/>
                <w:color w:val="00000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9" w:hRule="atLeast"/>
        </w:trPr>
        <w:tc>
          <w:tcPr>
            <w:tcW w:w="1828" w:type="dxa"/>
            <w:tcBorders>
              <w:top w:val="single" w:color="auto" w:sz="6" w:space="0"/>
              <w:left w:val="double" w:color="auto" w:sz="4" w:space="0"/>
              <w:bottom w:val="single" w:color="auto" w:sz="6" w:space="0"/>
              <w:right w:val="single" w:color="auto" w:sz="6" w:space="0"/>
            </w:tcBorders>
            <w:vAlign w:val="center"/>
          </w:tcPr>
          <w:p>
            <w:pPr>
              <w:spacing w:line="240" w:lineRule="exact"/>
              <w:jc w:val="center"/>
              <w:rPr>
                <w:rFonts w:ascii="仿宋_GB2312" w:hAnsi="仿宋_GB2312" w:eastAsia="仿宋_GB2312" w:cs="仿宋_GB2312"/>
                <w:color w:val="000000"/>
                <w:sz w:val="22"/>
                <w:szCs w:val="28"/>
              </w:rPr>
            </w:pPr>
            <w:r>
              <w:rPr>
                <w:rFonts w:ascii="仿宋_GB2312" w:hAnsi="仿宋_GB2312" w:eastAsia="仿宋_GB2312" w:cs="仿宋_GB2312"/>
                <w:color w:val="000000"/>
                <w:sz w:val="22"/>
                <w:szCs w:val="28"/>
              </w:rPr>
              <w:t>基本帐户帐号</w:t>
            </w:r>
          </w:p>
        </w:tc>
        <w:tc>
          <w:tcPr>
            <w:tcW w:w="7380" w:type="dxa"/>
            <w:gridSpan w:val="5"/>
            <w:tcBorders>
              <w:top w:val="single" w:color="auto" w:sz="6" w:space="0"/>
              <w:left w:val="single" w:color="auto" w:sz="6" w:space="0"/>
              <w:bottom w:val="single" w:color="auto" w:sz="6" w:space="0"/>
              <w:right w:val="double" w:color="auto" w:sz="4" w:space="0"/>
            </w:tcBorders>
            <w:vAlign w:val="center"/>
          </w:tcPr>
          <w:p>
            <w:pPr>
              <w:spacing w:line="240" w:lineRule="exact"/>
              <w:jc w:val="center"/>
              <w:rPr>
                <w:rFonts w:ascii="仿宋_GB2312" w:hAnsi="仿宋_GB2312" w:eastAsia="仿宋_GB2312" w:cs="仿宋_GB2312"/>
                <w:color w:val="00000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378" w:hRule="atLeast"/>
        </w:trPr>
        <w:tc>
          <w:tcPr>
            <w:tcW w:w="1828" w:type="dxa"/>
            <w:tcBorders>
              <w:top w:val="single" w:color="auto" w:sz="6" w:space="0"/>
              <w:left w:val="double" w:color="auto" w:sz="4" w:space="0"/>
              <w:bottom w:val="single" w:color="auto" w:sz="6" w:space="0"/>
              <w:right w:val="single" w:color="auto" w:sz="6" w:space="0"/>
            </w:tcBorders>
            <w:vAlign w:val="center"/>
          </w:tcPr>
          <w:p>
            <w:pPr>
              <w:spacing w:line="240" w:lineRule="exact"/>
              <w:jc w:val="center"/>
              <w:rPr>
                <w:rFonts w:ascii="仿宋_GB2312" w:hAnsi="仿宋_GB2312" w:eastAsia="仿宋_GB2312" w:cs="仿宋_GB2312"/>
                <w:color w:val="000000"/>
                <w:sz w:val="22"/>
                <w:szCs w:val="28"/>
              </w:rPr>
            </w:pPr>
            <w:r>
              <w:rPr>
                <w:rFonts w:ascii="仿宋_GB2312" w:hAnsi="仿宋_GB2312" w:eastAsia="仿宋_GB2312" w:cs="仿宋_GB2312"/>
                <w:color w:val="000000"/>
                <w:sz w:val="22"/>
                <w:szCs w:val="28"/>
              </w:rPr>
              <w:t>经营范围</w:t>
            </w:r>
          </w:p>
        </w:tc>
        <w:tc>
          <w:tcPr>
            <w:tcW w:w="7380" w:type="dxa"/>
            <w:gridSpan w:val="5"/>
            <w:tcBorders>
              <w:top w:val="single" w:color="auto" w:sz="6" w:space="0"/>
              <w:left w:val="single" w:color="auto" w:sz="6" w:space="0"/>
              <w:bottom w:val="single" w:color="auto" w:sz="6" w:space="0"/>
              <w:right w:val="double" w:color="auto" w:sz="4" w:space="0"/>
            </w:tcBorders>
            <w:vAlign w:val="center"/>
          </w:tcPr>
          <w:p>
            <w:pPr>
              <w:spacing w:line="240" w:lineRule="exact"/>
              <w:jc w:val="center"/>
              <w:rPr>
                <w:rFonts w:ascii="仿宋_GB2312" w:hAnsi="仿宋_GB2312" w:eastAsia="仿宋_GB2312" w:cs="仿宋_GB2312"/>
                <w:color w:val="00000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14" w:hRule="atLeast"/>
        </w:trPr>
        <w:tc>
          <w:tcPr>
            <w:tcW w:w="1828" w:type="dxa"/>
            <w:tcBorders>
              <w:top w:val="single" w:color="auto" w:sz="6" w:space="0"/>
              <w:left w:val="double" w:color="auto" w:sz="4" w:space="0"/>
              <w:bottom w:val="double" w:color="auto" w:sz="4" w:space="0"/>
              <w:right w:val="single" w:color="auto" w:sz="6" w:space="0"/>
            </w:tcBorders>
            <w:vAlign w:val="center"/>
          </w:tcPr>
          <w:p>
            <w:pPr>
              <w:spacing w:line="240" w:lineRule="exact"/>
              <w:jc w:val="center"/>
              <w:rPr>
                <w:rFonts w:ascii="仿宋_GB2312" w:hAnsi="仿宋_GB2312" w:eastAsia="仿宋_GB2312" w:cs="仿宋_GB2312"/>
                <w:color w:val="000000"/>
                <w:sz w:val="22"/>
                <w:szCs w:val="28"/>
              </w:rPr>
            </w:pPr>
            <w:r>
              <w:rPr>
                <w:rFonts w:ascii="仿宋_GB2312" w:hAnsi="仿宋_GB2312" w:eastAsia="仿宋_GB2312" w:cs="仿宋_GB2312"/>
                <w:color w:val="000000"/>
                <w:sz w:val="22"/>
                <w:szCs w:val="28"/>
              </w:rPr>
              <w:t>备注</w:t>
            </w:r>
          </w:p>
        </w:tc>
        <w:tc>
          <w:tcPr>
            <w:tcW w:w="7380" w:type="dxa"/>
            <w:gridSpan w:val="5"/>
            <w:tcBorders>
              <w:top w:val="single" w:color="auto" w:sz="6" w:space="0"/>
              <w:left w:val="single" w:color="auto" w:sz="6" w:space="0"/>
              <w:bottom w:val="double" w:color="auto" w:sz="4" w:space="0"/>
              <w:right w:val="double" w:color="auto" w:sz="4" w:space="0"/>
            </w:tcBorders>
            <w:vAlign w:val="center"/>
          </w:tcPr>
          <w:p>
            <w:pPr>
              <w:spacing w:line="240" w:lineRule="exact"/>
              <w:rPr>
                <w:rFonts w:ascii="仿宋_GB2312" w:hAnsi="仿宋_GB2312" w:eastAsia="仿宋_GB2312" w:cs="仿宋_GB2312"/>
                <w:color w:val="000000"/>
                <w:sz w:val="22"/>
                <w:szCs w:val="28"/>
              </w:rPr>
            </w:pPr>
          </w:p>
        </w:tc>
      </w:tr>
    </w:tbl>
    <w:p>
      <w:pPr>
        <w:spacing w:line="300" w:lineRule="exact"/>
        <w:ind w:left="970" w:leftChars="200" w:right="-153" w:rightChars="-73" w:hanging="550" w:hangingChars="250"/>
        <w:rPr>
          <w:rFonts w:hint="eastAsia" w:ascii="仿宋_GB2312" w:hAnsi="仿宋_GB2312" w:eastAsia="仿宋_GB2312" w:cs="仿宋_GB2312"/>
          <w:color w:val="000000"/>
          <w:sz w:val="22"/>
          <w:szCs w:val="28"/>
        </w:rPr>
      </w:pPr>
    </w:p>
    <w:p>
      <w:pPr>
        <w:snapToGrid w:val="0"/>
        <w:spacing w:before="156" w:beforeLines="50" w:after="50" w:line="440" w:lineRule="exact"/>
        <w:ind w:firstLine="440" w:firstLineChars="200"/>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8"/>
        </w:rPr>
        <w:t>注：在本表后应附企业法人营业执照或事业单位法人证书副本（全本）的复印件、基本账户开户许可证的复印件（可用由银行通过账户管理系统打印的《基本存款账户信息》代替基本账户开户许可证）。上述所有执照、证书复印件均应加盖投标人单位章。</w:t>
      </w:r>
    </w:p>
    <w:p>
      <w:pPr>
        <w:spacing w:line="360" w:lineRule="auto"/>
        <w:ind w:right="-328" w:rightChars="-156"/>
        <w:rPr>
          <w:rFonts w:hint="eastAsia" w:ascii="仿宋_GB2312" w:hAnsi="仿宋_GB2312" w:eastAsia="仿宋_GB2312" w:cs="仿宋_GB2312"/>
          <w:b/>
          <w:sz w:val="28"/>
          <w:szCs w:val="28"/>
        </w:rPr>
      </w:pPr>
      <w:r>
        <w:rPr>
          <w:rFonts w:hint="eastAsia" w:ascii="仿宋_GB2312" w:hAnsi="仿宋_GB2312" w:eastAsia="仿宋_GB2312" w:cs="仿宋_GB2312"/>
          <w:b/>
          <w:sz w:val="24"/>
        </w:rPr>
        <w:br w:type="page"/>
      </w:r>
      <w:r>
        <w:rPr>
          <w:rFonts w:hint="eastAsia" w:ascii="仿宋_GB2312" w:hAnsi="仿宋_GB2312" w:eastAsia="仿宋_GB2312" w:cs="仿宋_GB2312"/>
          <w:b/>
          <w:sz w:val="28"/>
          <w:szCs w:val="28"/>
        </w:rPr>
        <w:t>附件3：保密协议</w:t>
      </w:r>
    </w:p>
    <w:p>
      <w:pPr>
        <w:adjustRightInd w:val="0"/>
        <w:snapToGrid w:val="0"/>
        <w:spacing w:line="360" w:lineRule="auto"/>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保 密 协 议</w:t>
      </w:r>
    </w:p>
    <w:p>
      <w:pPr>
        <w:adjustRightInd w:val="0"/>
        <w:snapToGrid w:val="0"/>
        <w:spacing w:line="360" w:lineRule="auto"/>
        <w:jc w:val="righ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协议编号：                </w:t>
      </w:r>
    </w:p>
    <w:p>
      <w:pPr>
        <w:adjustRightInd w:val="0"/>
        <w:snapToGrid w:val="0"/>
        <w:spacing w:line="360" w:lineRule="auto"/>
        <w:jc w:val="righ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签署时间：    年  月  日</w:t>
      </w:r>
    </w:p>
    <w:p>
      <w:pPr>
        <w:adjustRightInd w:val="0"/>
        <w:snapToGrid w:val="0"/>
        <w:spacing w:line="360" w:lineRule="auto"/>
        <w:jc w:val="left"/>
        <w:rPr>
          <w:rFonts w:hint="eastAsia" w:ascii="仿宋_GB2312" w:hAnsi="仿宋_GB2312" w:eastAsia="仿宋_GB2312" w:cs="仿宋_GB2312"/>
          <w:sz w:val="28"/>
          <w:szCs w:val="28"/>
        </w:rPr>
      </w:pPr>
    </w:p>
    <w:p>
      <w:pPr>
        <w:spacing w:line="400" w:lineRule="exact"/>
        <w:jc w:val="right"/>
        <w:rPr>
          <w:rFonts w:hint="eastAsia" w:ascii="仿宋_GB2312" w:hAnsi="仿宋_GB2312" w:eastAsia="仿宋_GB2312" w:cs="仿宋_GB2312"/>
          <w:sz w:val="24"/>
        </w:rPr>
      </w:pP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本协议由</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（以下简称招标方），一家组建并存在于中国，其注册地址在中国</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省</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市 ；和</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公司（以下简称投标方），一家组建并存在于</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（国别），其注册地址在</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，于</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日（生效日）在</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市    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（签约地）共同订立。招标方和投标方合称“双方”，单称“一方”。</w:t>
      </w:r>
    </w:p>
    <w:p>
      <w:pPr>
        <w:adjustRightInd w:val="0"/>
        <w:snapToGrid w:val="0"/>
        <w:spacing w:line="360" w:lineRule="auto"/>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第一条 目的</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鉴于招标方与投标方之间目前和将来可能存在的业务合作关系，拥有保密信息的一方（披露方）同意按照本协议的规定向另一方（接受方）披露本协议第二条所定义的保密信息，并相互承担保密义务。</w:t>
      </w:r>
    </w:p>
    <w:p>
      <w:pPr>
        <w:adjustRightInd w:val="0"/>
        <w:snapToGrid w:val="0"/>
        <w:spacing w:line="360" w:lineRule="auto"/>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第二条 保密信息</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“保密信息”的含义是属于一方和（或）其子公司或关联企业所有，并被该方视为保密信息的技术、财务、商业或任何其他方面的信息，其具有以下特性：</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1.不为公众所知悉；</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2.能为权利人带来经济效益；</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3.具有实用性；</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4.被权利人视为秘密并对其采取了适当保护措施。</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保密信息包括但不限于：专有技术、商业秘密、版权和版权相关的状态信息、商业计划、公式、图纸、草图、技术数据、技术流程、技术诀窍、产品创意、发展计划、商业手册、市场营销、生产工艺、技术、理论、发明和财务信息、与产品、管理、业务、财务、与客户或投标方的合同性安排有关的信息和数据，与双方之间的会谈内容相关的信息，以及根据其性质或根据其被披露给信息所有人的情况，被或可能被合理地预期将被视为保密的其他信息。</w:t>
      </w:r>
    </w:p>
    <w:p>
      <w:pPr>
        <w:adjustRightInd w:val="0"/>
        <w:snapToGrid w:val="0"/>
        <w:spacing w:line="360" w:lineRule="auto"/>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第三条 披露方式</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披露方以书面或其他实物方式向接受方披露保密信息时，必须注明“机密”等相关字样；以口头、视像或其他非实物方式披露保密信息的同时须作相关声明，并于首次披露后三十（30）日内，以书面形式将披露的内容予以概括和确认。</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符合本协议规定的诸如传真、电子邮件、软盘以及电子媒介之披露方式，均为前款所称的书面方式。</w:t>
      </w:r>
    </w:p>
    <w:p>
      <w:pPr>
        <w:adjustRightInd w:val="0"/>
        <w:snapToGrid w:val="0"/>
        <w:spacing w:line="360" w:lineRule="auto"/>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第四条 禁止披露和限制使用</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对披露方披露的保密信息，接受方在此同意：</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1.严守保密信息机密，并保证以不低于接受方为保护其自有机密材料所采用的措施保护该保密信息；</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2.不泄露任何保密信息或源自保密信息的任何资料给除经批准的代理人以外的任何第三方；</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3.除用于实现其与披露方签订的合同目的之外，任何时候均不得利用该保密信息； </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4.不复制或颠倒设计该保密信息。</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接受方应争取其接受保密信息或能接触保密信息的雇员、代理人和分包商签订一份保密协议或类似的协议，此协议的实质内容应与本协议相似。双方同意，如发现任何对另一方保密信息的不当使用或滥用行为，将立即书面通知另一方。</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本协议所称代理人，是指并包括该方和该方的任何附属企业的董事、经理、代理、雇员、代表和（或）财务上的、法律上的、技术上的顾问和其他专业顾问。</w:t>
      </w:r>
    </w:p>
    <w:p>
      <w:pPr>
        <w:adjustRightInd w:val="0"/>
        <w:snapToGrid w:val="0"/>
        <w:spacing w:line="360" w:lineRule="auto"/>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第五条 责任的排除</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未准予任何权利或许可的条件下，披露方同意上述条款不适用于接受方能说明其具有下述情形的任何资料：</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1.已经或正在变成（不是通过接受方或其会员、代理、咨询单位或雇员的不正确作为或不作为而导致变成的）普通大众可以获取的资料；</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2.能书面证明乃根据另一方事先书面同意而披露的资料；</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3.能书面证明接受方从披露方收到资料之前已经拥有或熟知的资料，除非接受方非法占有该资料；</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4.经第三方合法披露而获得的资料；</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5.未使用披露方的保密信息，由接受方独立开发出来的资料。</w:t>
      </w:r>
    </w:p>
    <w:p>
      <w:pPr>
        <w:adjustRightInd w:val="0"/>
        <w:snapToGrid w:val="0"/>
        <w:spacing w:line="360" w:lineRule="auto"/>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只要接受方采取勤勉合理的努力来减少泄密且允许披露方寻求保护令，接受方可以应法律或法庭命令的要求披露保密信息，前提为披露之前一方先以书面形式将披露的保密信息的确切性质通知另一方。</w:t>
      </w:r>
    </w:p>
    <w:p>
      <w:pPr>
        <w:adjustRightInd w:val="0"/>
        <w:snapToGrid w:val="0"/>
        <w:spacing w:line="360" w:lineRule="auto"/>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第六条 所有权及资料的返还</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所有资料，包括但不限于披露方交给接受方的文件、图样、模型、装置、草图、设计及清单和任何保密信息，其所有权应由披露方拥有。任何时候，只要收到披露方的书面要求，接受方应立即将其或其经批准的代理人持有的全部保密资料和文件或包含该保密信息的媒体及其任何或全部复印件或摘要归还给披露方。如果该保密信息属于不能归还的形式或已经复制或转录到其他资料中，则应销毁或删除之。</w:t>
      </w:r>
    </w:p>
    <w:p>
      <w:pPr>
        <w:adjustRightInd w:val="0"/>
        <w:snapToGrid w:val="0"/>
        <w:spacing w:line="360" w:lineRule="auto"/>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第七条 补偿</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双方承认对于保护另一方的专有的利益而言遵守本协议是合理的和必须的。双方进一步承认违反本协议所做的任何第三方的未经许可的使用和任何向第三方的披露将导致对另一方的无法弥补的和持续的损害，并且同意在发生该违约行为或受到该违约行为的威胁时，另一方有权无须证明实际损害即可获得该方可以享有的、适用的法律允许的、及时的强制性救济措施和寻求任何补偿。</w:t>
      </w:r>
    </w:p>
    <w:p>
      <w:pPr>
        <w:adjustRightInd w:val="0"/>
        <w:snapToGrid w:val="0"/>
        <w:spacing w:line="360" w:lineRule="auto"/>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双方进一步约定：一旦招标方发现投标方违反本协议约定的保密义务，招标方有权要求投标方支付相当于双方交易金额2倍的违约金，并有权根据本条上一条款的规定追究投标方其他赔偿和责任。</w:t>
      </w:r>
    </w:p>
    <w:p>
      <w:pPr>
        <w:adjustRightInd w:val="0"/>
        <w:snapToGrid w:val="0"/>
        <w:spacing w:line="360" w:lineRule="auto"/>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第八条 适用法律和争议的解决</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本协议应受中华人民共和国法律管辖并按照中华人民共和国法律进行解释。本协议项下产生的任何争议如果不能通过友好协商予以解决，可向招标方所在地法院提起诉讼，并根据判决结果执行。</w:t>
      </w:r>
    </w:p>
    <w:p>
      <w:pPr>
        <w:adjustRightInd w:val="0"/>
        <w:snapToGrid w:val="0"/>
        <w:spacing w:line="360" w:lineRule="auto"/>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第九条 协议期限</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除非本协议通过双方的共同书面协议被提前终止或被双方的共同书面协议所替代，本协议自生效之日起永久有效。</w:t>
      </w:r>
    </w:p>
    <w:p>
      <w:pPr>
        <w:adjustRightInd w:val="0"/>
        <w:snapToGrid w:val="0"/>
        <w:spacing w:line="360" w:lineRule="auto"/>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第十条 保证</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披露方应保证其有权在本协议项下作出该披露。其将披露保密信息的数量完全由其自行决定。</w:t>
      </w:r>
    </w:p>
    <w:p>
      <w:pPr>
        <w:adjustRightInd w:val="0"/>
        <w:snapToGrid w:val="0"/>
        <w:spacing w:line="360" w:lineRule="auto"/>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第十一条 不代理</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双方没有意图通过本协议在双方之间形成任何代理或合伙关系。</w:t>
      </w:r>
    </w:p>
    <w:p>
      <w:pPr>
        <w:adjustRightInd w:val="0"/>
        <w:snapToGrid w:val="0"/>
        <w:spacing w:line="360" w:lineRule="auto"/>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第十二条 其他</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1.对本协议任何条款的不履行不应构成对该条款的放弃。</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2.本协议任何条款无效或不可执行不应影响本协议其他条款的有效性和可执行性。</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3.非以书面形式作出并经本协议双方签署，任何对本协议的修订、更改、修改或补充均为无效。</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4.本协议对双方、其继承者和被让与人均有约束力，条件是未经披露方书面同意接受保密信息的权利没有被转让；事先未经另一方书面同意任何一方不得转让其在本协议下的权利和义务。</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5.本协议构成全部协议，并取代双方先前与本协议主题事项有关的任何和全部口头或书面谅解、安排和协议。</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6.本协议以中文书写一式两份，双方各持一份，具有同等法律效力。</w:t>
      </w:r>
    </w:p>
    <w:p>
      <w:pPr>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7.本协议由双方的授权代表于协议首页所述日期正式签署。</w:t>
      </w:r>
    </w:p>
    <w:p>
      <w:pPr>
        <w:adjustRightInd w:val="0"/>
        <w:snapToGrid w:val="0"/>
        <w:spacing w:line="360" w:lineRule="auto"/>
        <w:jc w:val="left"/>
        <w:rPr>
          <w:rFonts w:hint="eastAsia" w:ascii="仿宋_GB2312" w:hAnsi="仿宋_GB2312" w:eastAsia="仿宋_GB2312" w:cs="仿宋_GB2312"/>
          <w:sz w:val="28"/>
          <w:szCs w:val="28"/>
        </w:rPr>
      </w:pPr>
    </w:p>
    <w:p>
      <w:pPr>
        <w:adjustRightInd w:val="0"/>
        <w:snapToGrid w:val="0"/>
        <w:spacing w:line="360" w:lineRule="auto"/>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招标方(盖章)：                                 投标方(盖章)：</w:t>
      </w:r>
    </w:p>
    <w:p>
      <w:pPr>
        <w:adjustRightInd w:val="0"/>
        <w:snapToGrid w:val="0"/>
        <w:spacing w:line="360" w:lineRule="auto"/>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代表(签字)：                                   代表(签字)：</w:t>
      </w:r>
    </w:p>
    <w:p>
      <w:pPr>
        <w:widowControl/>
        <w:jc w:val="left"/>
        <w:rPr>
          <w:rFonts w:ascii="仿宋_GB2312" w:hAnsi="仿宋_GB2312" w:eastAsia="仿宋_GB2312" w:cs="仿宋_GB2312"/>
          <w:b/>
          <w:sz w:val="28"/>
          <w:szCs w:val="28"/>
        </w:rPr>
      </w:pPr>
      <w:r>
        <w:rPr>
          <w:rFonts w:ascii="仿宋_GB2312" w:hAnsi="仿宋_GB2312" w:eastAsia="仿宋_GB2312" w:cs="仿宋_GB2312"/>
          <w:b/>
          <w:sz w:val="28"/>
          <w:szCs w:val="28"/>
        </w:rPr>
        <w:br w:type="page"/>
      </w:r>
    </w:p>
    <w:p>
      <w:pPr>
        <w:spacing w:line="360" w:lineRule="auto"/>
        <w:ind w:right="-328" w:rightChars="-156"/>
        <w:rPr>
          <w:rFonts w:hint="eastAsia" w:ascii="仿宋_GB2312" w:hAnsi="仿宋_GB2312" w:eastAsia="仿宋_GB2312" w:cs="仿宋_GB2312"/>
          <w:b/>
          <w:kern w:val="0"/>
          <w:szCs w:val="21"/>
          <w:u w:val="single"/>
        </w:rPr>
      </w:pPr>
      <w:r>
        <w:rPr>
          <w:rFonts w:hint="eastAsia" w:ascii="仿宋_GB2312" w:hAnsi="仿宋_GB2312" w:eastAsia="仿宋_GB2312" w:cs="仿宋_GB2312"/>
          <w:b/>
          <w:sz w:val="28"/>
          <w:szCs w:val="28"/>
        </w:rPr>
        <w:t>附件4：商务报价模板</w:t>
      </w:r>
    </w:p>
    <w:p>
      <w:pPr>
        <w:adjustRightInd w:val="0"/>
        <w:snapToGrid w:val="0"/>
        <w:spacing w:line="360" w:lineRule="auto"/>
        <w:ind w:firstLine="643" w:firstLineChars="200"/>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商务报价单</w:t>
      </w:r>
    </w:p>
    <w:p>
      <w:pPr>
        <w:snapToGrid w:val="0"/>
        <w:spacing w:before="50" w:after="50" w:line="440" w:lineRule="exact"/>
        <w:rPr>
          <w:rFonts w:hint="eastAsia" w:ascii="仿宋_GB2312" w:hAnsi="仿宋_GB2312" w:eastAsia="仿宋_GB2312" w:cs="仿宋_GB2312"/>
          <w:b/>
          <w:bCs/>
          <w:color w:val="000000"/>
          <w:szCs w:val="21"/>
        </w:rPr>
      </w:pPr>
      <w:r>
        <w:rPr>
          <w:rFonts w:hint="eastAsia" w:ascii="仿宋_GB2312" w:hAnsi="仿宋_GB2312" w:eastAsia="仿宋_GB2312" w:cs="仿宋_GB2312"/>
          <w:color w:val="000000"/>
          <w:sz w:val="24"/>
        </w:rPr>
        <w:t>投标人名称：</w:t>
      </w:r>
      <w:r>
        <w:rPr>
          <w:rFonts w:hint="eastAsia" w:ascii="仿宋_GB2312" w:hAnsi="仿宋_GB2312" w:eastAsia="仿宋_GB2312" w:cs="仿宋_GB2312"/>
          <w:color w:val="000000"/>
          <w:szCs w:val="21"/>
          <w:u w:val="single"/>
        </w:rPr>
        <w:t xml:space="preserve">                       </w:t>
      </w:r>
      <w:r>
        <w:rPr>
          <w:rFonts w:hint="eastAsia" w:ascii="仿宋_GB2312" w:hAnsi="仿宋_GB2312" w:eastAsia="仿宋_GB2312" w:cs="仿宋_GB2312"/>
          <w:color w:val="000000"/>
          <w:szCs w:val="21"/>
        </w:rPr>
        <w:t xml:space="preserve">   </w:t>
      </w:r>
    </w:p>
    <w:p>
      <w:pPr>
        <w:pStyle w:val="18"/>
        <w:ind w:leftChars="0"/>
        <w:rPr>
          <w:rFonts w:hint="eastAsia" w:ascii="仿宋_GB2312" w:hAnsi="仿宋_GB2312" w:eastAsia="仿宋_GB2312" w:cs="仿宋_GB2312"/>
          <w:color w:val="000000"/>
          <w:szCs w:val="21"/>
        </w:rPr>
      </w:pPr>
      <w:r>
        <w:rPr>
          <w:rFonts w:hint="eastAsia" w:ascii="仿宋_GB2312" w:hAnsi="仿宋_GB2312" w:eastAsia="仿宋_GB2312" w:cs="仿宋_GB2312"/>
          <w:b/>
          <w:bCs/>
          <w:color w:val="000000"/>
          <w:sz w:val="21"/>
          <w:szCs w:val="21"/>
        </w:rPr>
        <w:t xml:space="preserve">                                                                      </w:t>
      </w:r>
    </w:p>
    <w:tbl>
      <w:tblPr>
        <w:tblStyle w:val="33"/>
        <w:tblW w:w="98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4"/>
        <w:gridCol w:w="1930"/>
        <w:gridCol w:w="893"/>
        <w:gridCol w:w="816"/>
        <w:gridCol w:w="1139"/>
        <w:gridCol w:w="1140"/>
        <w:gridCol w:w="3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44" w:type="dxa"/>
          </w:tcPr>
          <w:p>
            <w:pPr>
              <w:snapToGrid w:val="0"/>
              <w:spacing w:before="50" w:after="50" w:line="440" w:lineRule="exact"/>
              <w:jc w:val="center"/>
              <w:rPr>
                <w:rFonts w:ascii="仿宋_GB2312" w:hAnsi="仿宋_GB2312" w:eastAsia="仿宋_GB2312" w:cs="仿宋_GB2312"/>
                <w:color w:val="000000"/>
                <w:sz w:val="22"/>
                <w:szCs w:val="22"/>
              </w:rPr>
            </w:pPr>
            <w:r>
              <w:rPr>
                <w:rFonts w:ascii="仿宋_GB2312" w:hAnsi="仿宋_GB2312" w:eastAsia="仿宋_GB2312" w:cs="仿宋_GB2312"/>
                <w:color w:val="000000"/>
                <w:sz w:val="22"/>
                <w:szCs w:val="22"/>
              </w:rPr>
              <w:t>序号</w:t>
            </w:r>
          </w:p>
        </w:tc>
        <w:tc>
          <w:tcPr>
            <w:tcW w:w="1930" w:type="dxa"/>
          </w:tcPr>
          <w:p>
            <w:pPr>
              <w:snapToGrid w:val="0"/>
              <w:spacing w:before="50" w:after="50" w:line="440" w:lineRule="exact"/>
              <w:jc w:val="center"/>
              <w:rPr>
                <w:rFonts w:ascii="仿宋_GB2312" w:hAnsi="仿宋_GB2312" w:eastAsia="仿宋_GB2312" w:cs="仿宋_GB2312"/>
                <w:color w:val="000000"/>
                <w:sz w:val="22"/>
                <w:szCs w:val="22"/>
              </w:rPr>
            </w:pPr>
            <w:r>
              <w:rPr>
                <w:rFonts w:ascii="仿宋_GB2312" w:hAnsi="仿宋_GB2312" w:eastAsia="仿宋_GB2312" w:cs="仿宋_GB2312"/>
                <w:color w:val="000000"/>
                <w:sz w:val="22"/>
                <w:szCs w:val="22"/>
              </w:rPr>
              <w:t>项目（内容）</w:t>
            </w:r>
          </w:p>
        </w:tc>
        <w:tc>
          <w:tcPr>
            <w:tcW w:w="893" w:type="dxa"/>
          </w:tcPr>
          <w:p>
            <w:pPr>
              <w:snapToGrid w:val="0"/>
              <w:spacing w:before="50" w:after="50" w:line="440" w:lineRule="exact"/>
              <w:jc w:val="center"/>
              <w:rPr>
                <w:rFonts w:ascii="仿宋_GB2312" w:hAnsi="仿宋_GB2312" w:eastAsia="仿宋_GB2312" w:cs="仿宋_GB2312"/>
                <w:color w:val="000000"/>
                <w:sz w:val="22"/>
                <w:szCs w:val="22"/>
              </w:rPr>
            </w:pPr>
            <w:r>
              <w:rPr>
                <w:rFonts w:ascii="仿宋_GB2312" w:hAnsi="仿宋_GB2312" w:eastAsia="仿宋_GB2312" w:cs="仿宋_GB2312"/>
                <w:color w:val="000000"/>
                <w:sz w:val="22"/>
                <w:szCs w:val="22"/>
              </w:rPr>
              <w:t>单位</w:t>
            </w:r>
          </w:p>
        </w:tc>
        <w:tc>
          <w:tcPr>
            <w:tcW w:w="816" w:type="dxa"/>
          </w:tcPr>
          <w:p>
            <w:pPr>
              <w:snapToGrid w:val="0"/>
              <w:spacing w:before="50" w:after="50" w:line="440" w:lineRule="exact"/>
              <w:jc w:val="center"/>
              <w:rPr>
                <w:rFonts w:ascii="仿宋_GB2312" w:hAnsi="仿宋_GB2312" w:eastAsia="仿宋_GB2312" w:cs="仿宋_GB2312"/>
                <w:color w:val="000000"/>
                <w:sz w:val="22"/>
                <w:szCs w:val="22"/>
              </w:rPr>
            </w:pPr>
            <w:r>
              <w:rPr>
                <w:rFonts w:ascii="仿宋_GB2312" w:hAnsi="仿宋_GB2312" w:eastAsia="仿宋_GB2312" w:cs="仿宋_GB2312"/>
                <w:color w:val="000000"/>
                <w:sz w:val="22"/>
                <w:szCs w:val="22"/>
              </w:rPr>
              <w:t>数量</w:t>
            </w:r>
          </w:p>
        </w:tc>
        <w:tc>
          <w:tcPr>
            <w:tcW w:w="1139" w:type="dxa"/>
          </w:tcPr>
          <w:p>
            <w:pPr>
              <w:snapToGrid w:val="0"/>
              <w:spacing w:before="50" w:after="50" w:line="440" w:lineRule="exact"/>
              <w:jc w:val="center"/>
              <w:rPr>
                <w:rFonts w:ascii="仿宋_GB2312" w:hAnsi="仿宋_GB2312" w:eastAsia="仿宋_GB2312" w:cs="仿宋_GB2312"/>
                <w:color w:val="000000"/>
                <w:sz w:val="22"/>
                <w:szCs w:val="22"/>
              </w:rPr>
            </w:pPr>
            <w:r>
              <w:rPr>
                <w:rFonts w:ascii="仿宋_GB2312" w:hAnsi="仿宋_GB2312" w:eastAsia="仿宋_GB2312" w:cs="仿宋_GB2312"/>
                <w:color w:val="000000"/>
                <w:sz w:val="22"/>
                <w:szCs w:val="22"/>
              </w:rPr>
              <w:t>单价</w:t>
            </w:r>
          </w:p>
        </w:tc>
        <w:tc>
          <w:tcPr>
            <w:tcW w:w="1140" w:type="dxa"/>
          </w:tcPr>
          <w:p>
            <w:pPr>
              <w:snapToGrid w:val="0"/>
              <w:spacing w:before="50" w:after="50" w:line="440" w:lineRule="exact"/>
              <w:jc w:val="center"/>
              <w:rPr>
                <w:rFonts w:hint="default" w:ascii="仿宋_GB2312" w:hAnsi="仿宋_GB2312" w:eastAsia="仿宋_GB2312" w:cs="仿宋_GB2312"/>
                <w:color w:val="000000"/>
                <w:sz w:val="22"/>
                <w:szCs w:val="22"/>
              </w:rPr>
            </w:pPr>
            <w:r>
              <w:rPr>
                <w:rFonts w:ascii="仿宋_GB2312" w:hAnsi="仿宋_GB2312" w:eastAsia="仿宋_GB2312" w:cs="仿宋_GB2312"/>
                <w:color w:val="000000"/>
                <w:sz w:val="22"/>
                <w:szCs w:val="22"/>
              </w:rPr>
              <w:t>开票税率</w:t>
            </w:r>
          </w:p>
        </w:tc>
        <w:tc>
          <w:tcPr>
            <w:tcW w:w="3027" w:type="dxa"/>
          </w:tcPr>
          <w:p>
            <w:pPr>
              <w:snapToGrid w:val="0"/>
              <w:spacing w:before="50" w:after="50" w:line="440" w:lineRule="exact"/>
              <w:jc w:val="center"/>
              <w:rPr>
                <w:rFonts w:ascii="仿宋_GB2312" w:hAnsi="仿宋_GB2312" w:eastAsia="仿宋_GB2312" w:cs="仿宋_GB2312"/>
                <w:color w:val="000000"/>
                <w:sz w:val="22"/>
                <w:szCs w:val="22"/>
              </w:rPr>
            </w:pPr>
            <w:r>
              <w:rPr>
                <w:rFonts w:ascii="仿宋_GB2312" w:hAnsi="仿宋_GB2312" w:eastAsia="仿宋_GB2312" w:cs="仿宋_GB2312"/>
                <w:color w:val="000000"/>
                <w:sz w:val="22"/>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44" w:type="dxa"/>
            <w:vAlign w:val="center"/>
          </w:tcPr>
          <w:p>
            <w:pPr>
              <w:snapToGrid w:val="0"/>
              <w:spacing w:before="50" w:after="50" w:line="440" w:lineRule="exact"/>
              <w:jc w:val="center"/>
              <w:rPr>
                <w:rFonts w:ascii="仿宋_GB2312" w:hAnsi="仿宋_GB2312" w:eastAsia="仿宋_GB2312" w:cs="仿宋_GB2312"/>
                <w:color w:val="000000"/>
                <w:sz w:val="22"/>
                <w:szCs w:val="22"/>
              </w:rPr>
            </w:pPr>
            <w:r>
              <w:rPr>
                <w:rFonts w:ascii="仿宋_GB2312" w:hAnsi="仿宋_GB2312" w:eastAsia="仿宋_GB2312" w:cs="仿宋_GB2312"/>
                <w:color w:val="000000"/>
                <w:sz w:val="22"/>
                <w:szCs w:val="22"/>
              </w:rPr>
              <w:t>1</w:t>
            </w:r>
          </w:p>
        </w:tc>
        <w:tc>
          <w:tcPr>
            <w:tcW w:w="1930" w:type="dxa"/>
            <w:vAlign w:val="center"/>
          </w:tcPr>
          <w:p>
            <w:pPr>
              <w:snapToGrid w:val="0"/>
              <w:spacing w:before="50" w:after="50" w:line="440" w:lineRule="exact"/>
              <w:jc w:val="center"/>
              <w:rPr>
                <w:rFonts w:ascii="仿宋_GB2312" w:hAnsi="仿宋_GB2312" w:eastAsia="仿宋_GB2312" w:cs="仿宋_GB2312"/>
                <w:color w:val="000000"/>
                <w:sz w:val="22"/>
                <w:szCs w:val="22"/>
              </w:rPr>
            </w:pPr>
            <w:r>
              <w:t>劳务派遣管理费用</w:t>
            </w:r>
          </w:p>
        </w:tc>
        <w:tc>
          <w:tcPr>
            <w:tcW w:w="893" w:type="dxa"/>
            <w:vAlign w:val="center"/>
          </w:tcPr>
          <w:p>
            <w:pPr>
              <w:snapToGrid w:val="0"/>
              <w:spacing w:before="50" w:after="50" w:line="440" w:lineRule="exact"/>
              <w:jc w:val="center"/>
              <w:rPr>
                <w:rFonts w:ascii="仿宋_GB2312" w:hAnsi="仿宋_GB2312" w:eastAsia="仿宋_GB2312" w:cs="仿宋_GB2312"/>
                <w:color w:val="000000"/>
                <w:sz w:val="22"/>
                <w:szCs w:val="22"/>
              </w:rPr>
            </w:pPr>
            <w:r>
              <w:rPr>
                <w:rFonts w:ascii="仿宋_GB2312" w:hAnsi="仿宋_GB2312" w:eastAsia="仿宋_GB2312" w:cs="仿宋_GB2312"/>
                <w:color w:val="000000"/>
                <w:sz w:val="22"/>
                <w:szCs w:val="22"/>
              </w:rPr>
              <w:t>人</w:t>
            </w:r>
          </w:p>
        </w:tc>
        <w:tc>
          <w:tcPr>
            <w:tcW w:w="816" w:type="dxa"/>
            <w:vAlign w:val="center"/>
          </w:tcPr>
          <w:p>
            <w:pPr>
              <w:snapToGrid w:val="0"/>
              <w:spacing w:before="50" w:after="50" w:line="440" w:lineRule="exact"/>
              <w:jc w:val="center"/>
              <w:rPr>
                <w:rFonts w:ascii="仿宋_GB2312" w:hAnsi="仿宋_GB2312" w:eastAsia="仿宋_GB2312" w:cs="仿宋_GB2312"/>
                <w:color w:val="000000"/>
                <w:sz w:val="22"/>
                <w:szCs w:val="22"/>
              </w:rPr>
            </w:pPr>
            <w:r>
              <w:rPr>
                <w:rFonts w:ascii="仿宋_GB2312" w:hAnsi="仿宋_GB2312" w:eastAsia="仿宋_GB2312" w:cs="仿宋_GB2312"/>
                <w:color w:val="000000"/>
                <w:sz w:val="22"/>
                <w:szCs w:val="22"/>
              </w:rPr>
              <w:t>1</w:t>
            </w:r>
          </w:p>
        </w:tc>
        <w:tc>
          <w:tcPr>
            <w:tcW w:w="1139" w:type="dxa"/>
            <w:vAlign w:val="center"/>
          </w:tcPr>
          <w:p>
            <w:pPr>
              <w:snapToGrid w:val="0"/>
              <w:spacing w:before="50" w:after="50" w:line="440" w:lineRule="exact"/>
              <w:jc w:val="center"/>
              <w:rPr>
                <w:rFonts w:ascii="仿宋_GB2312" w:hAnsi="仿宋_GB2312" w:eastAsia="仿宋_GB2312" w:cs="仿宋_GB2312"/>
                <w:color w:val="000000"/>
                <w:sz w:val="22"/>
                <w:szCs w:val="22"/>
              </w:rPr>
            </w:pPr>
          </w:p>
        </w:tc>
        <w:tc>
          <w:tcPr>
            <w:tcW w:w="1140" w:type="dxa"/>
            <w:vAlign w:val="center"/>
          </w:tcPr>
          <w:p>
            <w:pPr>
              <w:snapToGrid w:val="0"/>
              <w:spacing w:before="50" w:after="50" w:line="440" w:lineRule="exact"/>
              <w:jc w:val="center"/>
              <w:rPr>
                <w:rFonts w:ascii="仿宋_GB2312" w:hAnsi="仿宋_GB2312" w:eastAsia="仿宋_GB2312" w:cs="仿宋_GB2312"/>
                <w:color w:val="000000"/>
                <w:sz w:val="22"/>
                <w:szCs w:val="22"/>
              </w:rPr>
            </w:pPr>
          </w:p>
        </w:tc>
        <w:tc>
          <w:tcPr>
            <w:tcW w:w="3027" w:type="dxa"/>
            <w:vAlign w:val="center"/>
          </w:tcPr>
          <w:p>
            <w:pPr>
              <w:snapToGrid w:val="0"/>
              <w:spacing w:before="50" w:after="50" w:line="440" w:lineRule="exact"/>
              <w:jc w:val="left"/>
              <w:rPr>
                <w:rFonts w:hint="default" w:ascii="仿宋_GB2312" w:hAnsi="仿宋_GB2312" w:eastAsia="仿宋_GB2312" w:cs="仿宋_GB2312"/>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44" w:type="dxa"/>
            <w:vMerge w:val="restart"/>
            <w:vAlign w:val="center"/>
          </w:tcPr>
          <w:p>
            <w:pPr>
              <w:snapToGrid w:val="0"/>
              <w:spacing w:before="50" w:after="50" w:line="440" w:lineRule="exact"/>
              <w:jc w:val="center"/>
              <w:rPr>
                <w:rFonts w:ascii="仿宋_GB2312" w:hAnsi="仿宋_GB2312" w:eastAsia="仿宋_GB2312" w:cs="仿宋_GB2312"/>
                <w:color w:val="000000"/>
                <w:sz w:val="22"/>
                <w:szCs w:val="22"/>
              </w:rPr>
            </w:pPr>
            <w:r>
              <w:rPr>
                <w:rFonts w:ascii="仿宋_GB2312" w:hAnsi="仿宋_GB2312" w:eastAsia="仿宋_GB2312" w:cs="仿宋_GB2312"/>
                <w:color w:val="000000"/>
                <w:sz w:val="22"/>
                <w:szCs w:val="22"/>
              </w:rPr>
              <w:t>2</w:t>
            </w:r>
          </w:p>
        </w:tc>
        <w:tc>
          <w:tcPr>
            <w:tcW w:w="1930" w:type="dxa"/>
            <w:vMerge w:val="restart"/>
            <w:vAlign w:val="center"/>
          </w:tcPr>
          <w:p>
            <w:pPr>
              <w:snapToGrid w:val="0"/>
              <w:spacing w:before="50" w:after="50" w:line="440" w:lineRule="exact"/>
              <w:jc w:val="center"/>
              <w:rPr>
                <w:rFonts w:ascii="仿宋_GB2312" w:hAnsi="仿宋_GB2312" w:eastAsia="仿宋_GB2312" w:cs="仿宋_GB2312"/>
                <w:color w:val="000000"/>
                <w:sz w:val="22"/>
                <w:szCs w:val="22"/>
              </w:rPr>
            </w:pPr>
            <w:r>
              <w:rPr>
                <w:rFonts w:ascii="仿宋_GB2312" w:hAnsi="仿宋_GB2312" w:eastAsia="仿宋_GB2312" w:cs="仿宋_GB2312"/>
                <w:color w:val="000000"/>
                <w:sz w:val="22"/>
                <w:szCs w:val="22"/>
              </w:rPr>
              <w:t>外包服务费用</w:t>
            </w:r>
          </w:p>
        </w:tc>
        <w:tc>
          <w:tcPr>
            <w:tcW w:w="893" w:type="dxa"/>
            <w:vAlign w:val="center"/>
          </w:tcPr>
          <w:p>
            <w:pPr>
              <w:snapToGrid w:val="0"/>
              <w:spacing w:before="50" w:after="50" w:line="440" w:lineRule="exact"/>
              <w:jc w:val="center"/>
              <w:rPr>
                <w:rFonts w:ascii="仿宋_GB2312" w:hAnsi="仿宋_GB2312" w:eastAsia="仿宋_GB2312" w:cs="仿宋_GB2312"/>
                <w:color w:val="000000"/>
                <w:sz w:val="22"/>
                <w:szCs w:val="22"/>
              </w:rPr>
            </w:pPr>
            <w:r>
              <w:rPr>
                <w:rFonts w:ascii="仿宋_GB2312" w:hAnsi="仿宋_GB2312" w:eastAsia="仿宋_GB2312" w:cs="仿宋_GB2312"/>
                <w:color w:val="000000"/>
                <w:sz w:val="22"/>
                <w:szCs w:val="22"/>
              </w:rPr>
              <w:t>人</w:t>
            </w:r>
          </w:p>
        </w:tc>
        <w:tc>
          <w:tcPr>
            <w:tcW w:w="816" w:type="dxa"/>
            <w:vAlign w:val="center"/>
          </w:tcPr>
          <w:p>
            <w:pPr>
              <w:snapToGrid w:val="0"/>
              <w:spacing w:before="50" w:after="50" w:line="440" w:lineRule="exact"/>
              <w:jc w:val="center"/>
              <w:rPr>
                <w:rFonts w:ascii="仿宋_GB2312" w:hAnsi="仿宋_GB2312" w:eastAsia="仿宋_GB2312" w:cs="仿宋_GB2312"/>
                <w:color w:val="000000"/>
                <w:sz w:val="22"/>
                <w:szCs w:val="22"/>
              </w:rPr>
            </w:pPr>
            <w:r>
              <w:rPr>
                <w:rFonts w:ascii="仿宋_GB2312" w:hAnsi="仿宋_GB2312" w:eastAsia="仿宋_GB2312" w:cs="仿宋_GB2312"/>
                <w:color w:val="000000"/>
                <w:sz w:val="22"/>
                <w:szCs w:val="22"/>
              </w:rPr>
              <w:t>1</w:t>
            </w:r>
          </w:p>
        </w:tc>
        <w:tc>
          <w:tcPr>
            <w:tcW w:w="1139" w:type="dxa"/>
            <w:vAlign w:val="center"/>
          </w:tcPr>
          <w:p>
            <w:pPr>
              <w:snapToGrid w:val="0"/>
              <w:spacing w:before="50" w:after="50" w:line="440" w:lineRule="exact"/>
              <w:jc w:val="center"/>
              <w:rPr>
                <w:rFonts w:ascii="仿宋_GB2312" w:hAnsi="仿宋_GB2312" w:eastAsia="仿宋_GB2312" w:cs="仿宋_GB2312"/>
                <w:color w:val="000000"/>
                <w:sz w:val="22"/>
                <w:szCs w:val="22"/>
              </w:rPr>
            </w:pPr>
          </w:p>
        </w:tc>
        <w:tc>
          <w:tcPr>
            <w:tcW w:w="1140" w:type="dxa"/>
            <w:vAlign w:val="center"/>
          </w:tcPr>
          <w:p>
            <w:pPr>
              <w:snapToGrid w:val="0"/>
              <w:spacing w:before="50" w:after="50" w:line="440" w:lineRule="exact"/>
              <w:jc w:val="center"/>
              <w:rPr>
                <w:rFonts w:ascii="仿宋_GB2312" w:hAnsi="仿宋_GB2312" w:eastAsia="仿宋_GB2312" w:cs="仿宋_GB2312"/>
                <w:color w:val="000000"/>
                <w:sz w:val="22"/>
                <w:szCs w:val="22"/>
              </w:rPr>
            </w:pPr>
          </w:p>
        </w:tc>
        <w:tc>
          <w:tcPr>
            <w:tcW w:w="3027" w:type="dxa"/>
            <w:vAlign w:val="center"/>
          </w:tcPr>
          <w:p>
            <w:pPr>
              <w:snapToGrid w:val="0"/>
              <w:spacing w:before="50" w:after="50" w:line="440" w:lineRule="exact"/>
              <w:jc w:val="center"/>
              <w:rPr>
                <w:rFonts w:hint="default" w:ascii="仿宋_GB2312" w:hAnsi="仿宋_GB2312" w:eastAsia="仿宋_GB2312" w:cs="仿宋_GB2312"/>
                <w:color w:val="000000"/>
                <w:sz w:val="22"/>
                <w:szCs w:val="22"/>
              </w:rPr>
            </w:pPr>
            <w:r>
              <w:rPr>
                <w:rFonts w:ascii="仿宋_GB2312" w:hAnsi="仿宋_GB2312" w:eastAsia="仿宋_GB2312" w:cs="仿宋_GB2312"/>
                <w:color w:val="000000"/>
                <w:sz w:val="22"/>
                <w:szCs w:val="22"/>
              </w:rPr>
              <w:t>存量价格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44" w:type="dxa"/>
            <w:vMerge w:val="continue"/>
            <w:vAlign w:val="center"/>
          </w:tcPr>
          <w:p>
            <w:pPr>
              <w:snapToGrid w:val="0"/>
              <w:spacing w:before="50" w:after="50" w:line="440" w:lineRule="exact"/>
              <w:jc w:val="center"/>
              <w:rPr>
                <w:rFonts w:ascii="仿宋_GB2312" w:hAnsi="仿宋_GB2312" w:eastAsia="仿宋_GB2312" w:cs="仿宋_GB2312"/>
                <w:color w:val="000000"/>
                <w:sz w:val="22"/>
                <w:szCs w:val="22"/>
              </w:rPr>
            </w:pPr>
          </w:p>
        </w:tc>
        <w:tc>
          <w:tcPr>
            <w:tcW w:w="1930" w:type="dxa"/>
            <w:vMerge w:val="continue"/>
            <w:vAlign w:val="center"/>
          </w:tcPr>
          <w:p>
            <w:pPr>
              <w:snapToGrid w:val="0"/>
              <w:spacing w:before="50" w:after="50" w:line="440" w:lineRule="exact"/>
              <w:jc w:val="center"/>
              <w:rPr>
                <w:rFonts w:ascii="仿宋_GB2312" w:hAnsi="仿宋_GB2312" w:eastAsia="仿宋_GB2312" w:cs="仿宋_GB2312"/>
                <w:color w:val="000000"/>
                <w:sz w:val="22"/>
                <w:szCs w:val="22"/>
              </w:rPr>
            </w:pPr>
          </w:p>
        </w:tc>
        <w:tc>
          <w:tcPr>
            <w:tcW w:w="893" w:type="dxa"/>
            <w:vAlign w:val="center"/>
          </w:tcPr>
          <w:p>
            <w:pPr>
              <w:snapToGrid w:val="0"/>
              <w:spacing w:before="50" w:after="50" w:line="440" w:lineRule="exact"/>
              <w:jc w:val="center"/>
              <w:rPr>
                <w:rFonts w:ascii="仿宋_GB2312" w:hAnsi="仿宋_GB2312" w:eastAsia="仿宋_GB2312" w:cs="仿宋_GB2312"/>
                <w:color w:val="000000"/>
                <w:sz w:val="22"/>
                <w:szCs w:val="22"/>
              </w:rPr>
            </w:pPr>
            <w:r>
              <w:rPr>
                <w:rFonts w:ascii="仿宋_GB2312" w:hAnsi="仿宋_GB2312" w:eastAsia="仿宋_GB2312" w:cs="仿宋_GB2312"/>
                <w:color w:val="000000"/>
                <w:sz w:val="22"/>
                <w:szCs w:val="22"/>
              </w:rPr>
              <w:t>人</w:t>
            </w:r>
          </w:p>
        </w:tc>
        <w:tc>
          <w:tcPr>
            <w:tcW w:w="816" w:type="dxa"/>
            <w:vAlign w:val="center"/>
          </w:tcPr>
          <w:p>
            <w:pPr>
              <w:snapToGrid w:val="0"/>
              <w:spacing w:before="50" w:after="50" w:line="440" w:lineRule="exact"/>
              <w:jc w:val="center"/>
              <w:rPr>
                <w:rFonts w:hint="default" w:ascii="仿宋_GB2312" w:hAnsi="仿宋_GB2312" w:eastAsia="仿宋_GB2312" w:cs="仿宋_GB2312"/>
                <w:color w:val="000000"/>
                <w:sz w:val="22"/>
                <w:szCs w:val="22"/>
              </w:rPr>
            </w:pPr>
            <w:r>
              <w:rPr>
                <w:rFonts w:ascii="仿宋_GB2312" w:hAnsi="仿宋_GB2312" w:eastAsia="仿宋_GB2312" w:cs="仿宋_GB2312"/>
                <w:color w:val="000000"/>
                <w:sz w:val="22"/>
                <w:szCs w:val="22"/>
              </w:rPr>
              <w:t>1</w:t>
            </w:r>
          </w:p>
        </w:tc>
        <w:tc>
          <w:tcPr>
            <w:tcW w:w="1139" w:type="dxa"/>
            <w:vAlign w:val="center"/>
          </w:tcPr>
          <w:p>
            <w:pPr>
              <w:snapToGrid w:val="0"/>
              <w:spacing w:before="50" w:after="50" w:line="440" w:lineRule="exact"/>
              <w:jc w:val="center"/>
              <w:rPr>
                <w:rFonts w:ascii="仿宋_GB2312" w:hAnsi="仿宋_GB2312" w:eastAsia="仿宋_GB2312" w:cs="仿宋_GB2312"/>
                <w:color w:val="000000"/>
                <w:sz w:val="22"/>
                <w:szCs w:val="22"/>
              </w:rPr>
            </w:pPr>
          </w:p>
        </w:tc>
        <w:tc>
          <w:tcPr>
            <w:tcW w:w="1140" w:type="dxa"/>
            <w:vAlign w:val="center"/>
          </w:tcPr>
          <w:p>
            <w:pPr>
              <w:snapToGrid w:val="0"/>
              <w:spacing w:before="50" w:after="50" w:line="440" w:lineRule="exact"/>
              <w:jc w:val="center"/>
              <w:rPr>
                <w:rFonts w:ascii="仿宋_GB2312" w:hAnsi="仿宋_GB2312" w:eastAsia="仿宋_GB2312" w:cs="仿宋_GB2312"/>
                <w:color w:val="000000"/>
                <w:sz w:val="22"/>
                <w:szCs w:val="22"/>
              </w:rPr>
            </w:pPr>
          </w:p>
        </w:tc>
        <w:tc>
          <w:tcPr>
            <w:tcW w:w="3027" w:type="dxa"/>
            <w:vAlign w:val="center"/>
          </w:tcPr>
          <w:p>
            <w:pPr>
              <w:snapToGrid w:val="0"/>
              <w:spacing w:before="50" w:after="50" w:line="440" w:lineRule="exact"/>
              <w:jc w:val="center"/>
              <w:rPr>
                <w:rFonts w:hint="default" w:ascii="仿宋_GB2312" w:hAnsi="仿宋_GB2312" w:eastAsia="仿宋_GB2312" w:cs="仿宋_GB2312"/>
                <w:color w:val="000000"/>
                <w:sz w:val="22"/>
                <w:szCs w:val="22"/>
              </w:rPr>
            </w:pPr>
            <w:r>
              <w:rPr>
                <w:rFonts w:ascii="仿宋_GB2312" w:hAnsi="仿宋_GB2312" w:eastAsia="仿宋_GB2312" w:cs="仿宋_GB2312"/>
                <w:color w:val="000000"/>
                <w:sz w:val="22"/>
                <w:szCs w:val="22"/>
              </w:rPr>
              <w:t>新增价格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44" w:type="dxa"/>
            <w:vAlign w:val="center"/>
          </w:tcPr>
          <w:p>
            <w:pPr>
              <w:snapToGrid w:val="0"/>
              <w:spacing w:before="50" w:after="50" w:line="440" w:lineRule="exact"/>
              <w:jc w:val="center"/>
              <w:rPr>
                <w:rFonts w:ascii="仿宋_GB2312" w:hAnsi="仿宋_GB2312" w:eastAsia="仿宋_GB2312" w:cs="仿宋_GB2312"/>
                <w:color w:val="000000"/>
                <w:sz w:val="22"/>
                <w:szCs w:val="22"/>
              </w:rPr>
            </w:pPr>
            <w:r>
              <w:rPr>
                <w:rFonts w:ascii="仿宋_GB2312" w:hAnsi="仿宋_GB2312" w:eastAsia="仿宋_GB2312" w:cs="仿宋_GB2312"/>
                <w:color w:val="000000"/>
                <w:sz w:val="22"/>
                <w:szCs w:val="22"/>
              </w:rPr>
              <w:t>3</w:t>
            </w:r>
          </w:p>
        </w:tc>
        <w:tc>
          <w:tcPr>
            <w:tcW w:w="1930" w:type="dxa"/>
            <w:vAlign w:val="center"/>
          </w:tcPr>
          <w:p>
            <w:pPr>
              <w:snapToGrid w:val="0"/>
              <w:spacing w:before="50" w:after="50" w:line="440" w:lineRule="exact"/>
              <w:jc w:val="center"/>
              <w:rPr>
                <w:rFonts w:ascii="仿宋_GB2312" w:hAnsi="仿宋_GB2312" w:eastAsia="仿宋_GB2312" w:cs="仿宋_GB2312"/>
                <w:color w:val="000000"/>
                <w:sz w:val="22"/>
                <w:szCs w:val="22"/>
              </w:rPr>
            </w:pPr>
            <w:r>
              <w:rPr>
                <w:rFonts w:ascii="仿宋_GB2312" w:hAnsi="仿宋_GB2312" w:eastAsia="仿宋_GB2312" w:cs="仿宋_GB2312"/>
                <w:color w:val="000000"/>
                <w:sz w:val="22"/>
                <w:szCs w:val="22"/>
              </w:rPr>
              <w:t>招聘费用</w:t>
            </w:r>
          </w:p>
        </w:tc>
        <w:tc>
          <w:tcPr>
            <w:tcW w:w="893" w:type="dxa"/>
            <w:vAlign w:val="center"/>
          </w:tcPr>
          <w:p>
            <w:pPr>
              <w:snapToGrid w:val="0"/>
              <w:spacing w:before="50" w:after="50" w:line="440" w:lineRule="exact"/>
              <w:jc w:val="center"/>
              <w:rPr>
                <w:rFonts w:ascii="仿宋_GB2312" w:hAnsi="仿宋_GB2312" w:eastAsia="仿宋_GB2312" w:cs="仿宋_GB2312"/>
                <w:color w:val="000000"/>
                <w:sz w:val="22"/>
                <w:szCs w:val="22"/>
              </w:rPr>
            </w:pPr>
            <w:r>
              <w:rPr>
                <w:rFonts w:ascii="仿宋_GB2312" w:hAnsi="仿宋_GB2312" w:eastAsia="仿宋_GB2312" w:cs="仿宋_GB2312"/>
                <w:color w:val="000000"/>
                <w:sz w:val="22"/>
                <w:szCs w:val="22"/>
              </w:rPr>
              <w:t>人</w:t>
            </w:r>
          </w:p>
        </w:tc>
        <w:tc>
          <w:tcPr>
            <w:tcW w:w="816" w:type="dxa"/>
            <w:vAlign w:val="center"/>
          </w:tcPr>
          <w:p>
            <w:pPr>
              <w:snapToGrid w:val="0"/>
              <w:spacing w:before="50" w:after="50" w:line="440" w:lineRule="exact"/>
              <w:jc w:val="center"/>
              <w:rPr>
                <w:rFonts w:hint="default" w:ascii="仿宋_GB2312" w:hAnsi="仿宋_GB2312" w:eastAsia="仿宋_GB2312" w:cs="仿宋_GB2312"/>
                <w:color w:val="000000"/>
                <w:sz w:val="22"/>
                <w:szCs w:val="22"/>
              </w:rPr>
            </w:pPr>
            <w:r>
              <w:rPr>
                <w:rFonts w:ascii="仿宋_GB2312" w:hAnsi="仿宋_GB2312" w:eastAsia="仿宋_GB2312" w:cs="仿宋_GB2312"/>
                <w:color w:val="000000"/>
                <w:sz w:val="22"/>
                <w:szCs w:val="22"/>
              </w:rPr>
              <w:t>1</w:t>
            </w:r>
          </w:p>
        </w:tc>
        <w:tc>
          <w:tcPr>
            <w:tcW w:w="1139" w:type="dxa"/>
            <w:vAlign w:val="center"/>
          </w:tcPr>
          <w:p>
            <w:pPr>
              <w:snapToGrid w:val="0"/>
              <w:spacing w:before="50" w:after="50" w:line="440" w:lineRule="exact"/>
              <w:jc w:val="center"/>
              <w:rPr>
                <w:rFonts w:ascii="仿宋_GB2312" w:hAnsi="仿宋_GB2312" w:eastAsia="仿宋_GB2312" w:cs="仿宋_GB2312"/>
                <w:color w:val="000000"/>
                <w:sz w:val="22"/>
                <w:szCs w:val="22"/>
              </w:rPr>
            </w:pPr>
          </w:p>
        </w:tc>
        <w:tc>
          <w:tcPr>
            <w:tcW w:w="1140" w:type="dxa"/>
            <w:vAlign w:val="center"/>
          </w:tcPr>
          <w:p>
            <w:pPr>
              <w:snapToGrid w:val="0"/>
              <w:spacing w:before="50" w:after="50" w:line="440" w:lineRule="exact"/>
              <w:jc w:val="center"/>
              <w:rPr>
                <w:rFonts w:ascii="仿宋_GB2312" w:hAnsi="仿宋_GB2312" w:eastAsia="仿宋_GB2312" w:cs="仿宋_GB2312"/>
                <w:color w:val="000000"/>
                <w:sz w:val="22"/>
                <w:szCs w:val="22"/>
              </w:rPr>
            </w:pPr>
          </w:p>
        </w:tc>
        <w:tc>
          <w:tcPr>
            <w:tcW w:w="3027" w:type="dxa"/>
            <w:vAlign w:val="center"/>
          </w:tcPr>
          <w:p>
            <w:pPr>
              <w:snapToGrid w:val="0"/>
              <w:spacing w:before="50" w:after="50" w:line="440" w:lineRule="exact"/>
              <w:jc w:val="center"/>
              <w:rPr>
                <w:rFonts w:ascii="仿宋_GB2312" w:hAnsi="仿宋_GB2312" w:eastAsia="仿宋_GB2312" w:cs="仿宋_GB2312"/>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8" w:hRule="atLeast"/>
          <w:jc w:val="center"/>
        </w:trPr>
        <w:tc>
          <w:tcPr>
            <w:tcW w:w="944" w:type="dxa"/>
            <w:vAlign w:val="center"/>
          </w:tcPr>
          <w:p>
            <w:pPr>
              <w:snapToGrid w:val="0"/>
              <w:spacing w:before="50" w:after="50" w:line="440" w:lineRule="exact"/>
              <w:jc w:val="center"/>
              <w:rPr>
                <w:rFonts w:ascii="仿宋_GB2312" w:hAnsi="仿宋_GB2312" w:eastAsia="仿宋_GB2312" w:cs="仿宋_GB2312"/>
                <w:color w:val="000000"/>
                <w:sz w:val="22"/>
                <w:szCs w:val="22"/>
              </w:rPr>
            </w:pPr>
            <w:r>
              <w:rPr>
                <w:rFonts w:ascii="仿宋_GB2312" w:hAnsi="仿宋_GB2312" w:eastAsia="仿宋_GB2312" w:cs="仿宋_GB2312"/>
                <w:color w:val="000000"/>
                <w:sz w:val="22"/>
                <w:szCs w:val="22"/>
              </w:rPr>
              <w:t>3</w:t>
            </w:r>
          </w:p>
        </w:tc>
        <w:tc>
          <w:tcPr>
            <w:tcW w:w="1930" w:type="dxa"/>
            <w:vAlign w:val="center"/>
          </w:tcPr>
          <w:p>
            <w:pPr>
              <w:snapToGrid w:val="0"/>
              <w:spacing w:before="50" w:after="50" w:line="440" w:lineRule="exact"/>
              <w:jc w:val="center"/>
              <w:rPr>
                <w:rFonts w:ascii="仿宋_GB2312" w:hAnsi="仿宋_GB2312" w:eastAsia="仿宋_GB2312" w:cs="仿宋_GB2312"/>
                <w:color w:val="000000"/>
                <w:sz w:val="22"/>
                <w:szCs w:val="22"/>
              </w:rPr>
            </w:pPr>
            <w:r>
              <w:rPr>
                <w:rFonts w:ascii="仿宋_GB2312" w:hAnsi="仿宋_GB2312" w:eastAsia="仿宋_GB2312" w:cs="仿宋_GB2312"/>
                <w:color w:val="000000"/>
                <w:sz w:val="22"/>
                <w:szCs w:val="22"/>
              </w:rPr>
              <w:t>预付能力</w:t>
            </w:r>
          </w:p>
        </w:tc>
        <w:tc>
          <w:tcPr>
            <w:tcW w:w="3988" w:type="dxa"/>
            <w:gridSpan w:val="4"/>
            <w:vAlign w:val="center"/>
          </w:tcPr>
          <w:p>
            <w:pPr>
              <w:snapToGrid w:val="0"/>
              <w:spacing w:before="50" w:after="50" w:line="440" w:lineRule="exact"/>
              <w:jc w:val="center"/>
              <w:rPr>
                <w:rFonts w:ascii="仿宋_GB2312" w:hAnsi="仿宋_GB2312" w:eastAsia="仿宋_GB2312" w:cs="仿宋_GB2312"/>
                <w:color w:val="000000"/>
                <w:sz w:val="22"/>
                <w:szCs w:val="22"/>
              </w:rPr>
            </w:pPr>
            <w:r>
              <w:rPr>
                <w:rFonts w:ascii="仿宋_GB2312" w:hAnsi="仿宋_GB2312" w:eastAsia="仿宋_GB2312" w:cs="仿宋_GB2312"/>
                <w:color w:val="000000"/>
                <w:sz w:val="22"/>
                <w:szCs w:val="22"/>
              </w:rPr>
              <w:t>承诺具备          万元以上的预付能力，以保证项目员工的工资按期、足额发放。</w:t>
            </w:r>
          </w:p>
        </w:tc>
        <w:tc>
          <w:tcPr>
            <w:tcW w:w="3027" w:type="dxa"/>
            <w:vAlign w:val="center"/>
          </w:tcPr>
          <w:p>
            <w:pPr>
              <w:snapToGrid w:val="0"/>
              <w:spacing w:before="50" w:after="50" w:line="440" w:lineRule="exact"/>
              <w:jc w:val="center"/>
              <w:rPr>
                <w:rFonts w:ascii="仿宋_GB2312" w:hAnsi="仿宋_GB2312" w:eastAsia="仿宋_GB2312" w:cs="仿宋_GB2312"/>
                <w:color w:val="000000"/>
                <w:sz w:val="22"/>
                <w:szCs w:val="22"/>
              </w:rPr>
            </w:pPr>
          </w:p>
        </w:tc>
      </w:tr>
    </w:tbl>
    <w:p>
      <w:pPr>
        <w:adjustRightInd w:val="0"/>
        <w:snapToGrid w:val="0"/>
        <w:spacing w:line="360" w:lineRule="auto"/>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注: 1、报投标人可根据项目实际情况调整本表格式，但须包含上述内容；</w:t>
      </w:r>
    </w:p>
    <w:p>
      <w:pPr>
        <w:adjustRightInd w:val="0"/>
        <w:snapToGrid w:val="0"/>
        <w:spacing w:line="360" w:lineRule="auto"/>
        <w:ind w:firstLine="960" w:firstLineChars="400"/>
        <w:jc w:val="left"/>
        <w:rPr>
          <w:rFonts w:hint="eastAsia" w:ascii="仿宋_GB2312" w:hAnsi="仿宋_GB2312" w:eastAsia="仿宋_GB2312" w:cs="仿宋_GB2312"/>
          <w:sz w:val="24"/>
        </w:rPr>
      </w:pPr>
      <w:r>
        <w:rPr>
          <w:rFonts w:hint="eastAsia" w:ascii="仿宋_GB2312" w:hAnsi="仿宋_GB2312" w:eastAsia="仿宋_GB2312" w:cs="仿宋_GB2312"/>
          <w:sz w:val="24"/>
        </w:rPr>
        <w:t>2、增值税专用发票税点应包含在以上报价之内；</w:t>
      </w:r>
    </w:p>
    <w:p>
      <w:pPr>
        <w:adjustRightInd w:val="0"/>
        <w:snapToGrid w:val="0"/>
        <w:spacing w:line="360" w:lineRule="auto"/>
        <w:ind w:firstLine="960" w:firstLineChars="400"/>
        <w:jc w:val="left"/>
        <w:rPr>
          <w:rFonts w:hint="eastAsia" w:ascii="仿宋_GB2312" w:hAnsi="仿宋_GB2312" w:eastAsia="仿宋_GB2312" w:cs="仿宋_GB2312"/>
          <w:sz w:val="24"/>
        </w:rPr>
      </w:pPr>
      <w:r>
        <w:rPr>
          <w:rFonts w:hint="eastAsia" w:ascii="仿宋_GB2312" w:hAnsi="仿宋_GB2312" w:eastAsia="仿宋_GB2312" w:cs="仿宋_GB2312"/>
          <w:sz w:val="24"/>
        </w:rPr>
        <w:t>3、包含但不仅限于招聘、管理费用，雇员费用、税费、利润、合同实施过程中的应预见和不可预见费用等完成合同规定责任和义务一切费用。劳务派遣和外包员工工作薪酬、福利、税费等为不可竞争费用，不允许进行调整，否则按否决投标处理；</w:t>
      </w:r>
    </w:p>
    <w:p>
      <w:pPr>
        <w:adjustRightInd w:val="0"/>
        <w:snapToGrid w:val="0"/>
        <w:spacing w:line="360" w:lineRule="auto"/>
        <w:ind w:firstLine="960" w:firstLineChars="400"/>
        <w:jc w:val="left"/>
        <w:rPr>
          <w:rFonts w:hint="eastAsia" w:ascii="仿宋_GB2312" w:hAnsi="仿宋_GB2312" w:eastAsia="仿宋_GB2312" w:cs="仿宋_GB2312"/>
          <w:sz w:val="24"/>
        </w:rPr>
      </w:pPr>
      <w:r>
        <w:rPr>
          <w:rFonts w:hint="eastAsia" w:ascii="仿宋_GB2312" w:hAnsi="仿宋_GB2312" w:eastAsia="仿宋_GB2312" w:cs="仿宋_GB2312"/>
          <w:sz w:val="24"/>
        </w:rPr>
        <w:t>4、上述各项的详细分项报价及具体内容，可另页描述。</w:t>
      </w:r>
    </w:p>
    <w:p>
      <w:pPr>
        <w:adjustRightInd w:val="0"/>
        <w:snapToGrid w:val="0"/>
        <w:spacing w:line="360" w:lineRule="auto"/>
        <w:jc w:val="left"/>
        <w:rPr>
          <w:rFonts w:hint="eastAsia" w:ascii="仿宋_GB2312" w:hAnsi="仿宋_GB2312" w:eastAsia="仿宋_GB2312" w:cs="仿宋_GB2312"/>
          <w:sz w:val="28"/>
          <w:szCs w:val="28"/>
        </w:rPr>
      </w:pPr>
    </w:p>
    <w:p>
      <w:pPr>
        <w:adjustRightInd w:val="0"/>
        <w:snapToGrid w:val="0"/>
        <w:spacing w:line="360" w:lineRule="auto"/>
        <w:jc w:val="left"/>
        <w:rPr>
          <w:rFonts w:hint="eastAsia" w:ascii="仿宋_GB2312" w:hAnsi="仿宋_GB2312" w:eastAsia="仿宋_GB2312" w:cs="仿宋_GB2312"/>
          <w:sz w:val="28"/>
          <w:szCs w:val="28"/>
        </w:rPr>
      </w:pPr>
    </w:p>
    <w:p>
      <w:pPr>
        <w:adjustRightInd w:val="0"/>
        <w:snapToGrid w:val="0"/>
        <w:spacing w:line="360" w:lineRule="auto"/>
        <w:jc w:val="left"/>
        <w:rPr>
          <w:rFonts w:hint="eastAsia" w:ascii="仿宋_GB2312" w:hAnsi="仿宋_GB2312" w:eastAsia="仿宋_GB2312" w:cs="仿宋_GB2312"/>
          <w:sz w:val="28"/>
          <w:szCs w:val="28"/>
        </w:rPr>
      </w:pPr>
    </w:p>
    <w:p>
      <w:pPr>
        <w:adjustRightInd w:val="0"/>
        <w:snapToGrid w:val="0"/>
        <w:spacing w:line="360" w:lineRule="auto"/>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法定代表人或授权代表（签字或盖章）： </w:t>
      </w:r>
    </w:p>
    <w:p>
      <w:pPr>
        <w:adjustRightInd w:val="0"/>
        <w:snapToGrid w:val="0"/>
        <w:spacing w:line="360" w:lineRule="auto"/>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投标人名称（盖章）：                                 </w:t>
      </w:r>
    </w:p>
    <w:p>
      <w:pPr>
        <w:adjustRightInd w:val="0"/>
        <w:snapToGrid w:val="0"/>
        <w:spacing w:line="360" w:lineRule="auto"/>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日期：    年   月   日</w:t>
      </w:r>
    </w:p>
    <w:p>
      <w:pPr>
        <w:spacing w:line="360" w:lineRule="auto"/>
        <w:ind w:right="-328" w:rightChars="-156"/>
        <w:rPr>
          <w:rFonts w:hint="eastAsia" w:ascii="仿宋_GB2312" w:hAnsi="仿宋_GB2312" w:eastAsia="仿宋_GB2312" w:cs="仿宋_GB2312"/>
          <w:b/>
          <w:sz w:val="24"/>
        </w:rPr>
      </w:pPr>
      <w:r>
        <w:rPr>
          <w:rFonts w:hint="eastAsia" w:ascii="仿宋_GB2312" w:hAnsi="仿宋_GB2312" w:eastAsia="仿宋_GB2312" w:cs="仿宋_GB2312"/>
          <w:b/>
          <w:sz w:val="24"/>
        </w:rPr>
        <w:br w:type="page"/>
      </w:r>
      <w:r>
        <w:rPr>
          <w:rFonts w:hint="eastAsia" w:ascii="仿宋_GB2312" w:hAnsi="仿宋_GB2312" w:eastAsia="仿宋_GB2312" w:cs="仿宋_GB2312"/>
          <w:b/>
          <w:sz w:val="28"/>
          <w:szCs w:val="28"/>
        </w:rPr>
        <w:t>附件5：投标文件封面</w:t>
      </w:r>
    </w:p>
    <w:p>
      <w:pPr>
        <w:spacing w:line="360" w:lineRule="auto"/>
        <w:ind w:left="393" w:leftChars="-150" w:right="-328" w:rightChars="-156" w:hanging="708" w:hangingChars="294"/>
        <w:jc w:val="center"/>
        <w:rPr>
          <w:rFonts w:hint="eastAsia" w:ascii="仿宋_GB2312" w:hAnsi="仿宋_GB2312" w:eastAsia="仿宋_GB2312" w:cs="仿宋_GB2312"/>
          <w:b/>
          <w:sz w:val="24"/>
        </w:rPr>
      </w:pPr>
    </w:p>
    <w:p>
      <w:pPr>
        <w:spacing w:after="120" w:line="360" w:lineRule="atLeast"/>
        <w:jc w:val="center"/>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sz w:val="32"/>
          <w:szCs w:val="32"/>
        </w:rPr>
        <w:t>投标文件</w:t>
      </w:r>
    </w:p>
    <w:p>
      <w:pPr>
        <w:spacing w:line="360" w:lineRule="auto"/>
        <w:ind w:firstLine="420" w:firstLineChars="200"/>
        <w:rPr>
          <w:rFonts w:hint="eastAsia" w:ascii="仿宋_GB2312" w:hAnsi="仿宋_GB2312" w:eastAsia="仿宋_GB2312" w:cs="仿宋_GB2312"/>
          <w:color w:val="000000"/>
          <w:szCs w:val="21"/>
        </w:rPr>
      </w:pPr>
    </w:p>
    <w:p>
      <w:pPr>
        <w:spacing w:line="360" w:lineRule="auto"/>
        <w:rPr>
          <w:rFonts w:hint="eastAsia" w:ascii="仿宋_GB2312" w:hAnsi="仿宋_GB2312" w:eastAsia="仿宋_GB2312" w:cs="仿宋_GB2312"/>
          <w:color w:val="000000"/>
          <w:szCs w:val="21"/>
        </w:rPr>
      </w:pPr>
    </w:p>
    <w:p>
      <w:pPr>
        <w:spacing w:after="120"/>
        <w:ind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投标人：</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（盖单位章）</w:t>
      </w:r>
    </w:p>
    <w:p>
      <w:pPr>
        <w:spacing w:after="120"/>
        <w:ind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法定代表人或其委托代理人：</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（签字）</w:t>
      </w:r>
    </w:p>
    <w:p>
      <w:pPr>
        <w:spacing w:after="120"/>
        <w:ind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地  址：</w:t>
      </w:r>
      <w:r>
        <w:rPr>
          <w:rFonts w:hint="eastAsia" w:ascii="仿宋_GB2312" w:hAnsi="仿宋_GB2312" w:eastAsia="仿宋_GB2312" w:cs="仿宋_GB2312"/>
          <w:color w:val="000000"/>
          <w:sz w:val="28"/>
          <w:szCs w:val="28"/>
          <w:u w:val="single"/>
        </w:rPr>
        <w:t xml:space="preserve">                                                 </w:t>
      </w:r>
    </w:p>
    <w:p>
      <w:pPr>
        <w:spacing w:after="120"/>
        <w:ind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邮政编码：</w:t>
      </w:r>
      <w:r>
        <w:rPr>
          <w:rFonts w:hint="eastAsia" w:ascii="仿宋_GB2312" w:hAnsi="仿宋_GB2312" w:eastAsia="仿宋_GB2312" w:cs="仿宋_GB2312"/>
          <w:color w:val="000000"/>
          <w:sz w:val="28"/>
          <w:szCs w:val="28"/>
          <w:u w:val="single"/>
        </w:rPr>
        <w:t xml:space="preserve">                                               </w:t>
      </w:r>
    </w:p>
    <w:p>
      <w:pPr>
        <w:spacing w:after="120"/>
        <w:ind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投标日期：</w:t>
      </w:r>
      <w:r>
        <w:rPr>
          <w:rFonts w:hint="eastAsia" w:ascii="仿宋_GB2312" w:hAnsi="仿宋_GB2312" w:eastAsia="仿宋_GB2312" w:cs="仿宋_GB2312"/>
          <w:color w:val="000000"/>
          <w:sz w:val="28"/>
          <w:szCs w:val="28"/>
          <w:u w:val="single"/>
        </w:rPr>
        <w:t xml:space="preserve">                                               </w:t>
      </w:r>
    </w:p>
    <w:p>
      <w:pPr>
        <w:spacing w:after="120"/>
        <w:ind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联系人：</w:t>
      </w:r>
      <w:r>
        <w:rPr>
          <w:rFonts w:hint="eastAsia" w:ascii="仿宋_GB2312" w:hAnsi="仿宋_GB2312" w:eastAsia="仿宋_GB2312" w:cs="仿宋_GB2312"/>
          <w:color w:val="000000"/>
          <w:sz w:val="28"/>
          <w:szCs w:val="28"/>
          <w:u w:val="single"/>
        </w:rPr>
        <w:t xml:space="preserve">                                                 </w:t>
      </w:r>
    </w:p>
    <w:p>
      <w:pPr>
        <w:spacing w:after="120"/>
        <w:ind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联系电话：</w:t>
      </w:r>
      <w:r>
        <w:rPr>
          <w:rFonts w:hint="eastAsia" w:ascii="仿宋_GB2312" w:hAnsi="仿宋_GB2312" w:eastAsia="仿宋_GB2312" w:cs="仿宋_GB2312"/>
          <w:color w:val="000000"/>
          <w:sz w:val="28"/>
          <w:szCs w:val="28"/>
          <w:u w:val="single"/>
        </w:rPr>
        <w:t xml:space="preserve">                                               </w:t>
      </w:r>
    </w:p>
    <w:p>
      <w:pPr>
        <w:spacing w:after="120"/>
        <w:ind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邮    箱：</w:t>
      </w:r>
      <w:r>
        <w:rPr>
          <w:rFonts w:hint="eastAsia" w:ascii="仿宋_GB2312" w:hAnsi="仿宋_GB2312" w:eastAsia="仿宋_GB2312" w:cs="仿宋_GB2312"/>
          <w:color w:val="000000"/>
          <w:sz w:val="28"/>
          <w:szCs w:val="28"/>
          <w:u w:val="single"/>
        </w:rPr>
        <w:t xml:space="preserve">                                               </w:t>
      </w:r>
    </w:p>
    <w:p>
      <w:pPr>
        <w:spacing w:line="360" w:lineRule="auto"/>
        <w:ind w:right="-328" w:rightChars="-156"/>
        <w:rPr>
          <w:rFonts w:hint="eastAsia" w:ascii="仿宋_GB2312" w:hAnsi="仿宋_GB2312" w:eastAsia="仿宋_GB2312" w:cs="仿宋_GB2312"/>
          <w:b/>
          <w:sz w:val="24"/>
        </w:rPr>
      </w:pPr>
    </w:p>
    <w:p>
      <w:pPr>
        <w:pStyle w:val="29"/>
        <w:widowControl/>
        <w:spacing w:before="0" w:beforeAutospacing="0" w:after="0" w:afterAutospacing="0"/>
        <w:rPr>
          <w:rFonts w:hint="eastAsia" w:ascii="仿宋_GB2312" w:hAnsi="仿宋_GB2312" w:eastAsia="仿宋_GB2312" w:cs="仿宋_GB2312"/>
          <w:kern w:val="2"/>
          <w:sz w:val="28"/>
          <w:szCs w:val="28"/>
        </w:rPr>
      </w:pPr>
    </w:p>
    <w:sectPr>
      <w:headerReference r:id="rId4" w:type="first"/>
      <w:footerReference r:id="rId6" w:type="first"/>
      <w:headerReference r:id="rId3" w:type="default"/>
      <w:footerReference r:id="rId5" w:type="default"/>
      <w:pgSz w:w="11906" w:h="16838"/>
      <w:pgMar w:top="1440" w:right="1077" w:bottom="1440" w:left="1276"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jc w:val="center"/>
    </w:pPr>
  </w:p>
  <w:p>
    <w:pPr>
      <w:pStyle w:val="21"/>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rPr>
        <w:rFonts w:hint="eastAsia"/>
        <w:b/>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tabs>
        <w:tab w:val="center" w:pos="4664"/>
        <w:tab w:val="right" w:pos="9329"/>
        <w:tab w:val="clear" w:pos="4153"/>
        <w:tab w:val="clear" w:pos="8306"/>
      </w:tabs>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8"/>
    <w:multiLevelType w:val="singleLevel"/>
    <w:tmpl w:val="FFFFFF88"/>
    <w:lvl w:ilvl="0" w:tentative="0">
      <w:start w:val="1"/>
      <w:numFmt w:val="decimal"/>
      <w:pStyle w:val="11"/>
      <w:lvlText w:val="%1."/>
      <w:lvlJc w:val="left"/>
      <w:pPr>
        <w:tabs>
          <w:tab w:val="left" w:pos="360"/>
        </w:tabs>
        <w:ind w:left="360" w:hanging="360"/>
      </w:pPr>
    </w:lvl>
  </w:abstractNum>
  <w:abstractNum w:abstractNumId="1">
    <w:nsid w:val="04EC187C"/>
    <w:multiLevelType w:val="singleLevel"/>
    <w:tmpl w:val="04EC187C"/>
    <w:lvl w:ilvl="0" w:tentative="0">
      <w:start w:val="1"/>
      <w:numFmt w:val="chineseCounting"/>
      <w:suff w:val="nothing"/>
      <w:lvlText w:val="（%1）"/>
      <w:lvlJc w:val="left"/>
      <w:pPr>
        <w:ind w:left="0" w:firstLine="420"/>
      </w:pPr>
      <w:rPr>
        <w:rFonts w:hint="eastAsia"/>
      </w:rPr>
    </w:lvl>
  </w:abstractNum>
  <w:abstractNum w:abstractNumId="2">
    <w:nsid w:val="15422547"/>
    <w:multiLevelType w:val="singleLevel"/>
    <w:tmpl w:val="15422547"/>
    <w:lvl w:ilvl="0" w:tentative="0">
      <w:start w:val="1"/>
      <w:numFmt w:val="decimal"/>
      <w:suff w:val="nothing"/>
      <w:lvlText w:val="%1、"/>
      <w:lvlJc w:val="left"/>
    </w:lvl>
  </w:abstractNum>
  <w:abstractNum w:abstractNumId="3">
    <w:nsid w:val="6445908E"/>
    <w:multiLevelType w:val="singleLevel"/>
    <w:tmpl w:val="6445908E"/>
    <w:lvl w:ilvl="0" w:tentative="0">
      <w:start w:val="1"/>
      <w:numFmt w:val="decimal"/>
      <w:suff w:val="nothing"/>
      <w:lvlText w:val="%1、"/>
      <w:lvlJc w:val="left"/>
    </w:lvl>
  </w:abstractNum>
  <w:abstractNum w:abstractNumId="4">
    <w:nsid w:val="6DA108C5"/>
    <w:multiLevelType w:val="multilevel"/>
    <w:tmpl w:val="6DA108C5"/>
    <w:lvl w:ilvl="0" w:tentative="0">
      <w:start w:val="1"/>
      <w:numFmt w:val="decimal"/>
      <w:pStyle w:val="2"/>
      <w:lvlText w:val="%1"/>
      <w:lvlJc w:val="left"/>
      <w:pPr>
        <w:tabs>
          <w:tab w:val="left" w:pos="432"/>
        </w:tabs>
        <w:ind w:left="432" w:hanging="432"/>
      </w:pPr>
    </w:lvl>
    <w:lvl w:ilvl="1" w:tentative="0">
      <w:start w:val="1"/>
      <w:numFmt w:val="decimal"/>
      <w:pStyle w:val="3"/>
      <w:lvlText w:val="%1.%2"/>
      <w:lvlJc w:val="left"/>
      <w:pPr>
        <w:tabs>
          <w:tab w:val="left" w:pos="576"/>
        </w:tabs>
        <w:ind w:left="576" w:hanging="576"/>
      </w:pPr>
    </w:lvl>
    <w:lvl w:ilvl="2" w:tentative="0">
      <w:start w:val="1"/>
      <w:numFmt w:val="decimal"/>
      <w:pStyle w:val="4"/>
      <w:lvlText w:val="%1.%2.%3"/>
      <w:lvlJc w:val="left"/>
      <w:pPr>
        <w:tabs>
          <w:tab w:val="left" w:pos="720"/>
        </w:tabs>
        <w:ind w:left="72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M5NzNhODk0OGQ2NjAxNDA0ZjJiNTE2MzU1Y2I3ZmYifQ=="/>
  </w:docVars>
  <w:rsids>
    <w:rsidRoot w:val="00FB16AC"/>
    <w:rsid w:val="0000056D"/>
    <w:rsid w:val="0000135B"/>
    <w:rsid w:val="00001C09"/>
    <w:rsid w:val="00001E05"/>
    <w:rsid w:val="0000323C"/>
    <w:rsid w:val="000049C8"/>
    <w:rsid w:val="00007872"/>
    <w:rsid w:val="000115DC"/>
    <w:rsid w:val="00011792"/>
    <w:rsid w:val="00014115"/>
    <w:rsid w:val="00014666"/>
    <w:rsid w:val="00014A9A"/>
    <w:rsid w:val="00020690"/>
    <w:rsid w:val="000232FF"/>
    <w:rsid w:val="00024A01"/>
    <w:rsid w:val="00026282"/>
    <w:rsid w:val="00026B30"/>
    <w:rsid w:val="0003062A"/>
    <w:rsid w:val="000320FC"/>
    <w:rsid w:val="00034787"/>
    <w:rsid w:val="000365A0"/>
    <w:rsid w:val="000366D6"/>
    <w:rsid w:val="00036A4F"/>
    <w:rsid w:val="00037D2C"/>
    <w:rsid w:val="00037F79"/>
    <w:rsid w:val="00040E08"/>
    <w:rsid w:val="00043657"/>
    <w:rsid w:val="0004458D"/>
    <w:rsid w:val="00045078"/>
    <w:rsid w:val="000453FA"/>
    <w:rsid w:val="0004590C"/>
    <w:rsid w:val="00045FDC"/>
    <w:rsid w:val="000470B5"/>
    <w:rsid w:val="000501B8"/>
    <w:rsid w:val="00051A98"/>
    <w:rsid w:val="00052687"/>
    <w:rsid w:val="00052ADC"/>
    <w:rsid w:val="00054008"/>
    <w:rsid w:val="00054649"/>
    <w:rsid w:val="0005484B"/>
    <w:rsid w:val="000552A2"/>
    <w:rsid w:val="00056E46"/>
    <w:rsid w:val="00057C8E"/>
    <w:rsid w:val="00060009"/>
    <w:rsid w:val="00060032"/>
    <w:rsid w:val="00061160"/>
    <w:rsid w:val="00061ADE"/>
    <w:rsid w:val="0006216D"/>
    <w:rsid w:val="000642C4"/>
    <w:rsid w:val="0006765C"/>
    <w:rsid w:val="0006782E"/>
    <w:rsid w:val="0006794F"/>
    <w:rsid w:val="000702F7"/>
    <w:rsid w:val="00071D4E"/>
    <w:rsid w:val="00072196"/>
    <w:rsid w:val="000801F2"/>
    <w:rsid w:val="000814BB"/>
    <w:rsid w:val="00083015"/>
    <w:rsid w:val="00083E55"/>
    <w:rsid w:val="000875CA"/>
    <w:rsid w:val="00087A9F"/>
    <w:rsid w:val="00087F5A"/>
    <w:rsid w:val="00087F7D"/>
    <w:rsid w:val="000952CA"/>
    <w:rsid w:val="000958CD"/>
    <w:rsid w:val="00095DBB"/>
    <w:rsid w:val="000A0EEB"/>
    <w:rsid w:val="000A172E"/>
    <w:rsid w:val="000A3249"/>
    <w:rsid w:val="000A71C3"/>
    <w:rsid w:val="000A7A21"/>
    <w:rsid w:val="000B0BF8"/>
    <w:rsid w:val="000B28AB"/>
    <w:rsid w:val="000B2FE1"/>
    <w:rsid w:val="000B414E"/>
    <w:rsid w:val="000B4248"/>
    <w:rsid w:val="000B4E1C"/>
    <w:rsid w:val="000B5BD0"/>
    <w:rsid w:val="000B711A"/>
    <w:rsid w:val="000B7C9E"/>
    <w:rsid w:val="000B7DB2"/>
    <w:rsid w:val="000C0BBB"/>
    <w:rsid w:val="000C11B6"/>
    <w:rsid w:val="000C12E6"/>
    <w:rsid w:val="000C1B2D"/>
    <w:rsid w:val="000C280D"/>
    <w:rsid w:val="000C7104"/>
    <w:rsid w:val="000C71C5"/>
    <w:rsid w:val="000C7CD0"/>
    <w:rsid w:val="000D1193"/>
    <w:rsid w:val="000D2165"/>
    <w:rsid w:val="000D40E6"/>
    <w:rsid w:val="000E147C"/>
    <w:rsid w:val="000E374E"/>
    <w:rsid w:val="000E4514"/>
    <w:rsid w:val="000E4CF0"/>
    <w:rsid w:val="000E564D"/>
    <w:rsid w:val="000E5B65"/>
    <w:rsid w:val="000F0DEB"/>
    <w:rsid w:val="000F1450"/>
    <w:rsid w:val="000F23B1"/>
    <w:rsid w:val="000F358F"/>
    <w:rsid w:val="000F3ACB"/>
    <w:rsid w:val="000F4DF4"/>
    <w:rsid w:val="000F7905"/>
    <w:rsid w:val="0010358A"/>
    <w:rsid w:val="001059D4"/>
    <w:rsid w:val="00106E5F"/>
    <w:rsid w:val="00106FEE"/>
    <w:rsid w:val="001071D2"/>
    <w:rsid w:val="00110B67"/>
    <w:rsid w:val="00110C3E"/>
    <w:rsid w:val="001159A3"/>
    <w:rsid w:val="00117281"/>
    <w:rsid w:val="00117E6C"/>
    <w:rsid w:val="00120C50"/>
    <w:rsid w:val="001212DA"/>
    <w:rsid w:val="00121F53"/>
    <w:rsid w:val="00123C44"/>
    <w:rsid w:val="00125CAA"/>
    <w:rsid w:val="00127FB8"/>
    <w:rsid w:val="00133718"/>
    <w:rsid w:val="001366F1"/>
    <w:rsid w:val="0013763A"/>
    <w:rsid w:val="00137F5B"/>
    <w:rsid w:val="00140598"/>
    <w:rsid w:val="00142028"/>
    <w:rsid w:val="00144469"/>
    <w:rsid w:val="0014561A"/>
    <w:rsid w:val="001456E1"/>
    <w:rsid w:val="00145954"/>
    <w:rsid w:val="0014758A"/>
    <w:rsid w:val="00147EB5"/>
    <w:rsid w:val="00150CF4"/>
    <w:rsid w:val="001523D6"/>
    <w:rsid w:val="00153EB8"/>
    <w:rsid w:val="001557D3"/>
    <w:rsid w:val="0015768F"/>
    <w:rsid w:val="00162153"/>
    <w:rsid w:val="001626FF"/>
    <w:rsid w:val="00162F17"/>
    <w:rsid w:val="00166077"/>
    <w:rsid w:val="00166A06"/>
    <w:rsid w:val="001710C9"/>
    <w:rsid w:val="00176B9C"/>
    <w:rsid w:val="00176D5E"/>
    <w:rsid w:val="001806FB"/>
    <w:rsid w:val="00183FBC"/>
    <w:rsid w:val="00190A4F"/>
    <w:rsid w:val="001925E8"/>
    <w:rsid w:val="00192B3C"/>
    <w:rsid w:val="00193D09"/>
    <w:rsid w:val="00194432"/>
    <w:rsid w:val="00194AE0"/>
    <w:rsid w:val="0019562D"/>
    <w:rsid w:val="001962E8"/>
    <w:rsid w:val="001A1441"/>
    <w:rsid w:val="001A2A9E"/>
    <w:rsid w:val="001A6DFA"/>
    <w:rsid w:val="001A741F"/>
    <w:rsid w:val="001B02F7"/>
    <w:rsid w:val="001B2198"/>
    <w:rsid w:val="001B23DB"/>
    <w:rsid w:val="001B2820"/>
    <w:rsid w:val="001B2BCF"/>
    <w:rsid w:val="001B5EE8"/>
    <w:rsid w:val="001B6D7F"/>
    <w:rsid w:val="001C1EE9"/>
    <w:rsid w:val="001C290B"/>
    <w:rsid w:val="001C2940"/>
    <w:rsid w:val="001C3902"/>
    <w:rsid w:val="001C3914"/>
    <w:rsid w:val="001C3B4B"/>
    <w:rsid w:val="001C3DE8"/>
    <w:rsid w:val="001C4685"/>
    <w:rsid w:val="001C6EB4"/>
    <w:rsid w:val="001C714B"/>
    <w:rsid w:val="001D0253"/>
    <w:rsid w:val="001D1773"/>
    <w:rsid w:val="001D360F"/>
    <w:rsid w:val="001D597A"/>
    <w:rsid w:val="001D5AF8"/>
    <w:rsid w:val="001D6289"/>
    <w:rsid w:val="001D697B"/>
    <w:rsid w:val="001D7383"/>
    <w:rsid w:val="001E07F7"/>
    <w:rsid w:val="001E0CF4"/>
    <w:rsid w:val="001E19F6"/>
    <w:rsid w:val="001E22E3"/>
    <w:rsid w:val="001E339C"/>
    <w:rsid w:val="001E4292"/>
    <w:rsid w:val="001E7E71"/>
    <w:rsid w:val="001F0D3F"/>
    <w:rsid w:val="001F2581"/>
    <w:rsid w:val="001F2869"/>
    <w:rsid w:val="001F41DB"/>
    <w:rsid w:val="001F6BEC"/>
    <w:rsid w:val="001F7ABA"/>
    <w:rsid w:val="001F7F41"/>
    <w:rsid w:val="00202C74"/>
    <w:rsid w:val="00202FBA"/>
    <w:rsid w:val="002030D4"/>
    <w:rsid w:val="00203261"/>
    <w:rsid w:val="002035B1"/>
    <w:rsid w:val="002036CF"/>
    <w:rsid w:val="002052A8"/>
    <w:rsid w:val="00206124"/>
    <w:rsid w:val="0020694B"/>
    <w:rsid w:val="00207479"/>
    <w:rsid w:val="00210841"/>
    <w:rsid w:val="0021269F"/>
    <w:rsid w:val="00216FA8"/>
    <w:rsid w:val="00216FB4"/>
    <w:rsid w:val="00221A93"/>
    <w:rsid w:val="00222878"/>
    <w:rsid w:val="00222DA3"/>
    <w:rsid w:val="00224288"/>
    <w:rsid w:val="0022507B"/>
    <w:rsid w:val="00225CB9"/>
    <w:rsid w:val="00225D7A"/>
    <w:rsid w:val="00226945"/>
    <w:rsid w:val="00230D91"/>
    <w:rsid w:val="002323BC"/>
    <w:rsid w:val="00234545"/>
    <w:rsid w:val="002362D8"/>
    <w:rsid w:val="0023660A"/>
    <w:rsid w:val="0023716E"/>
    <w:rsid w:val="00240741"/>
    <w:rsid w:val="0024109A"/>
    <w:rsid w:val="00241823"/>
    <w:rsid w:val="00242CD9"/>
    <w:rsid w:val="00244C5C"/>
    <w:rsid w:val="002456FE"/>
    <w:rsid w:val="00247B8B"/>
    <w:rsid w:val="00250B26"/>
    <w:rsid w:val="00252CE1"/>
    <w:rsid w:val="0025497D"/>
    <w:rsid w:val="00255072"/>
    <w:rsid w:val="00256C62"/>
    <w:rsid w:val="00257207"/>
    <w:rsid w:val="002606CD"/>
    <w:rsid w:val="00262631"/>
    <w:rsid w:val="00264435"/>
    <w:rsid w:val="00264D87"/>
    <w:rsid w:val="002652E0"/>
    <w:rsid w:val="002668A8"/>
    <w:rsid w:val="00267D2D"/>
    <w:rsid w:val="00270AFA"/>
    <w:rsid w:val="00271458"/>
    <w:rsid w:val="00271E94"/>
    <w:rsid w:val="00272C42"/>
    <w:rsid w:val="00272DD6"/>
    <w:rsid w:val="00274046"/>
    <w:rsid w:val="00275654"/>
    <w:rsid w:val="00275BB9"/>
    <w:rsid w:val="00276091"/>
    <w:rsid w:val="00276AA2"/>
    <w:rsid w:val="00276BD3"/>
    <w:rsid w:val="00280D65"/>
    <w:rsid w:val="00281408"/>
    <w:rsid w:val="00281460"/>
    <w:rsid w:val="00281C81"/>
    <w:rsid w:val="00281F4C"/>
    <w:rsid w:val="00283CBA"/>
    <w:rsid w:val="00283E43"/>
    <w:rsid w:val="002853F4"/>
    <w:rsid w:val="002858F8"/>
    <w:rsid w:val="00286CDC"/>
    <w:rsid w:val="00286EB2"/>
    <w:rsid w:val="0029167F"/>
    <w:rsid w:val="002918E4"/>
    <w:rsid w:val="00292FEA"/>
    <w:rsid w:val="002976AE"/>
    <w:rsid w:val="002A00C6"/>
    <w:rsid w:val="002A15DC"/>
    <w:rsid w:val="002A29E7"/>
    <w:rsid w:val="002A2EBB"/>
    <w:rsid w:val="002A335C"/>
    <w:rsid w:val="002A403B"/>
    <w:rsid w:val="002A4256"/>
    <w:rsid w:val="002B153A"/>
    <w:rsid w:val="002B22D5"/>
    <w:rsid w:val="002B2317"/>
    <w:rsid w:val="002B2461"/>
    <w:rsid w:val="002B27B0"/>
    <w:rsid w:val="002B6EAA"/>
    <w:rsid w:val="002B7F4B"/>
    <w:rsid w:val="002C00B9"/>
    <w:rsid w:val="002C0622"/>
    <w:rsid w:val="002C0BF8"/>
    <w:rsid w:val="002C1806"/>
    <w:rsid w:val="002C21EE"/>
    <w:rsid w:val="002C27CD"/>
    <w:rsid w:val="002C2EBB"/>
    <w:rsid w:val="002C3A25"/>
    <w:rsid w:val="002C6037"/>
    <w:rsid w:val="002C6A39"/>
    <w:rsid w:val="002C6C52"/>
    <w:rsid w:val="002C7E04"/>
    <w:rsid w:val="002D243E"/>
    <w:rsid w:val="002D45B1"/>
    <w:rsid w:val="002D6566"/>
    <w:rsid w:val="002D71B9"/>
    <w:rsid w:val="002D75BB"/>
    <w:rsid w:val="002E0288"/>
    <w:rsid w:val="002E104F"/>
    <w:rsid w:val="002E27AE"/>
    <w:rsid w:val="002E3221"/>
    <w:rsid w:val="002E369D"/>
    <w:rsid w:val="002E4BB0"/>
    <w:rsid w:val="002E78BC"/>
    <w:rsid w:val="002F04D8"/>
    <w:rsid w:val="002F1DB2"/>
    <w:rsid w:val="002F1DC8"/>
    <w:rsid w:val="002F33FF"/>
    <w:rsid w:val="002F489C"/>
    <w:rsid w:val="002F6457"/>
    <w:rsid w:val="002F6A49"/>
    <w:rsid w:val="00301482"/>
    <w:rsid w:val="00302017"/>
    <w:rsid w:val="00303B41"/>
    <w:rsid w:val="00304E96"/>
    <w:rsid w:val="003050C4"/>
    <w:rsid w:val="003056A8"/>
    <w:rsid w:val="00305D60"/>
    <w:rsid w:val="00305E76"/>
    <w:rsid w:val="00307C4B"/>
    <w:rsid w:val="00310C04"/>
    <w:rsid w:val="003126DA"/>
    <w:rsid w:val="00312B66"/>
    <w:rsid w:val="00312F12"/>
    <w:rsid w:val="0031360C"/>
    <w:rsid w:val="00313AEE"/>
    <w:rsid w:val="003143AE"/>
    <w:rsid w:val="003145F0"/>
    <w:rsid w:val="003161D2"/>
    <w:rsid w:val="003206F3"/>
    <w:rsid w:val="003212D7"/>
    <w:rsid w:val="00322BD4"/>
    <w:rsid w:val="003230EE"/>
    <w:rsid w:val="00324FB4"/>
    <w:rsid w:val="00325195"/>
    <w:rsid w:val="003268F7"/>
    <w:rsid w:val="0032768F"/>
    <w:rsid w:val="003303E6"/>
    <w:rsid w:val="003309F6"/>
    <w:rsid w:val="00331902"/>
    <w:rsid w:val="0033427B"/>
    <w:rsid w:val="00334612"/>
    <w:rsid w:val="003362F6"/>
    <w:rsid w:val="00341034"/>
    <w:rsid w:val="00341635"/>
    <w:rsid w:val="00344E95"/>
    <w:rsid w:val="00346A76"/>
    <w:rsid w:val="00347EB2"/>
    <w:rsid w:val="00350B21"/>
    <w:rsid w:val="00350E0C"/>
    <w:rsid w:val="00353018"/>
    <w:rsid w:val="00354542"/>
    <w:rsid w:val="00355BEB"/>
    <w:rsid w:val="003565E8"/>
    <w:rsid w:val="0035753A"/>
    <w:rsid w:val="00360AD0"/>
    <w:rsid w:val="00360DEF"/>
    <w:rsid w:val="0036322F"/>
    <w:rsid w:val="003657E4"/>
    <w:rsid w:val="00365B69"/>
    <w:rsid w:val="00366420"/>
    <w:rsid w:val="0036652F"/>
    <w:rsid w:val="00366D36"/>
    <w:rsid w:val="00370B1A"/>
    <w:rsid w:val="003716E2"/>
    <w:rsid w:val="003722A3"/>
    <w:rsid w:val="0037768B"/>
    <w:rsid w:val="003800B4"/>
    <w:rsid w:val="00381EBD"/>
    <w:rsid w:val="00382866"/>
    <w:rsid w:val="00383410"/>
    <w:rsid w:val="00383AB1"/>
    <w:rsid w:val="0038696B"/>
    <w:rsid w:val="00386FB6"/>
    <w:rsid w:val="00387259"/>
    <w:rsid w:val="003920F8"/>
    <w:rsid w:val="003937B9"/>
    <w:rsid w:val="003953E4"/>
    <w:rsid w:val="003A23A6"/>
    <w:rsid w:val="003A33A4"/>
    <w:rsid w:val="003A3F36"/>
    <w:rsid w:val="003A4F0E"/>
    <w:rsid w:val="003A6F30"/>
    <w:rsid w:val="003A7B18"/>
    <w:rsid w:val="003B02BE"/>
    <w:rsid w:val="003B1A2C"/>
    <w:rsid w:val="003B54E7"/>
    <w:rsid w:val="003B6A4A"/>
    <w:rsid w:val="003B6EEC"/>
    <w:rsid w:val="003B77D8"/>
    <w:rsid w:val="003C01C6"/>
    <w:rsid w:val="003C0C24"/>
    <w:rsid w:val="003C134B"/>
    <w:rsid w:val="003C168C"/>
    <w:rsid w:val="003C333F"/>
    <w:rsid w:val="003C6EC8"/>
    <w:rsid w:val="003D1B28"/>
    <w:rsid w:val="003D1E1D"/>
    <w:rsid w:val="003D28EE"/>
    <w:rsid w:val="003D3B05"/>
    <w:rsid w:val="003D583C"/>
    <w:rsid w:val="003E06D2"/>
    <w:rsid w:val="003E179D"/>
    <w:rsid w:val="003E250E"/>
    <w:rsid w:val="003E2A02"/>
    <w:rsid w:val="003E3661"/>
    <w:rsid w:val="003E39BF"/>
    <w:rsid w:val="003E4B6B"/>
    <w:rsid w:val="003E4CF2"/>
    <w:rsid w:val="003E6259"/>
    <w:rsid w:val="003E77F8"/>
    <w:rsid w:val="003F701A"/>
    <w:rsid w:val="003F718E"/>
    <w:rsid w:val="00402521"/>
    <w:rsid w:val="004026AF"/>
    <w:rsid w:val="00402D4F"/>
    <w:rsid w:val="00402F8B"/>
    <w:rsid w:val="00403883"/>
    <w:rsid w:val="00404BCB"/>
    <w:rsid w:val="00410D83"/>
    <w:rsid w:val="004116CF"/>
    <w:rsid w:val="00413879"/>
    <w:rsid w:val="00415AB8"/>
    <w:rsid w:val="0041641B"/>
    <w:rsid w:val="00417600"/>
    <w:rsid w:val="00420A33"/>
    <w:rsid w:val="00424632"/>
    <w:rsid w:val="00425E12"/>
    <w:rsid w:val="004269B3"/>
    <w:rsid w:val="00430115"/>
    <w:rsid w:val="00430314"/>
    <w:rsid w:val="00431DE6"/>
    <w:rsid w:val="0043236E"/>
    <w:rsid w:val="00434AC5"/>
    <w:rsid w:val="00437B96"/>
    <w:rsid w:val="0044089E"/>
    <w:rsid w:val="00441BF0"/>
    <w:rsid w:val="00441CBE"/>
    <w:rsid w:val="004425DA"/>
    <w:rsid w:val="00442A6C"/>
    <w:rsid w:val="004448D2"/>
    <w:rsid w:val="00444E96"/>
    <w:rsid w:val="004450CC"/>
    <w:rsid w:val="0045161B"/>
    <w:rsid w:val="00451931"/>
    <w:rsid w:val="00451AEE"/>
    <w:rsid w:val="004524B4"/>
    <w:rsid w:val="00454E7F"/>
    <w:rsid w:val="00455645"/>
    <w:rsid w:val="0045587B"/>
    <w:rsid w:val="00455902"/>
    <w:rsid w:val="004579CC"/>
    <w:rsid w:val="00457FA9"/>
    <w:rsid w:val="004608DC"/>
    <w:rsid w:val="00461DD0"/>
    <w:rsid w:val="00462FA1"/>
    <w:rsid w:val="00463D28"/>
    <w:rsid w:val="004646FF"/>
    <w:rsid w:val="00465CB7"/>
    <w:rsid w:val="00466153"/>
    <w:rsid w:val="004661A3"/>
    <w:rsid w:val="004734B9"/>
    <w:rsid w:val="00475C1C"/>
    <w:rsid w:val="004807E3"/>
    <w:rsid w:val="00480B2C"/>
    <w:rsid w:val="00481C28"/>
    <w:rsid w:val="00481F28"/>
    <w:rsid w:val="00481FCB"/>
    <w:rsid w:val="00482773"/>
    <w:rsid w:val="00482A09"/>
    <w:rsid w:val="00483A61"/>
    <w:rsid w:val="0048494F"/>
    <w:rsid w:val="004876A2"/>
    <w:rsid w:val="00491E37"/>
    <w:rsid w:val="00493A9B"/>
    <w:rsid w:val="004A36FC"/>
    <w:rsid w:val="004A6C0D"/>
    <w:rsid w:val="004A7274"/>
    <w:rsid w:val="004B05F0"/>
    <w:rsid w:val="004B0B61"/>
    <w:rsid w:val="004B0C16"/>
    <w:rsid w:val="004B1234"/>
    <w:rsid w:val="004B172F"/>
    <w:rsid w:val="004B2747"/>
    <w:rsid w:val="004B34FD"/>
    <w:rsid w:val="004B4890"/>
    <w:rsid w:val="004B58DF"/>
    <w:rsid w:val="004C3CA8"/>
    <w:rsid w:val="004C5A9D"/>
    <w:rsid w:val="004D2B5C"/>
    <w:rsid w:val="004D3B50"/>
    <w:rsid w:val="004D4279"/>
    <w:rsid w:val="004D4C09"/>
    <w:rsid w:val="004D7072"/>
    <w:rsid w:val="004E0A0A"/>
    <w:rsid w:val="004E1515"/>
    <w:rsid w:val="004E23FE"/>
    <w:rsid w:val="004E2676"/>
    <w:rsid w:val="004E46A0"/>
    <w:rsid w:val="004E4CDF"/>
    <w:rsid w:val="004F07DD"/>
    <w:rsid w:val="004F0C0D"/>
    <w:rsid w:val="004F17DF"/>
    <w:rsid w:val="004F458C"/>
    <w:rsid w:val="004F49E7"/>
    <w:rsid w:val="004F7146"/>
    <w:rsid w:val="004F7571"/>
    <w:rsid w:val="00502F4F"/>
    <w:rsid w:val="0050549D"/>
    <w:rsid w:val="00506183"/>
    <w:rsid w:val="005109B3"/>
    <w:rsid w:val="00510AA1"/>
    <w:rsid w:val="005115DE"/>
    <w:rsid w:val="005135C1"/>
    <w:rsid w:val="00513C3F"/>
    <w:rsid w:val="00514F78"/>
    <w:rsid w:val="00515A37"/>
    <w:rsid w:val="00515CDF"/>
    <w:rsid w:val="005162F5"/>
    <w:rsid w:val="00521733"/>
    <w:rsid w:val="0052584A"/>
    <w:rsid w:val="0052618A"/>
    <w:rsid w:val="00526C7E"/>
    <w:rsid w:val="00527C75"/>
    <w:rsid w:val="0053142B"/>
    <w:rsid w:val="00531982"/>
    <w:rsid w:val="00532A77"/>
    <w:rsid w:val="005349C7"/>
    <w:rsid w:val="005358FB"/>
    <w:rsid w:val="00537223"/>
    <w:rsid w:val="00540600"/>
    <w:rsid w:val="00540FCA"/>
    <w:rsid w:val="00542716"/>
    <w:rsid w:val="00543B43"/>
    <w:rsid w:val="005444C5"/>
    <w:rsid w:val="00545216"/>
    <w:rsid w:val="00545CB1"/>
    <w:rsid w:val="00546149"/>
    <w:rsid w:val="00546A3B"/>
    <w:rsid w:val="0055004C"/>
    <w:rsid w:val="00550822"/>
    <w:rsid w:val="0055210E"/>
    <w:rsid w:val="00554BF1"/>
    <w:rsid w:val="0055613E"/>
    <w:rsid w:val="00556248"/>
    <w:rsid w:val="00557876"/>
    <w:rsid w:val="00560B97"/>
    <w:rsid w:val="005618DD"/>
    <w:rsid w:val="00561993"/>
    <w:rsid w:val="005624E0"/>
    <w:rsid w:val="00562CF0"/>
    <w:rsid w:val="00563FCE"/>
    <w:rsid w:val="005675E0"/>
    <w:rsid w:val="00574DB2"/>
    <w:rsid w:val="005750AD"/>
    <w:rsid w:val="005764D6"/>
    <w:rsid w:val="00577DCE"/>
    <w:rsid w:val="005827DE"/>
    <w:rsid w:val="00582DEA"/>
    <w:rsid w:val="00583CCF"/>
    <w:rsid w:val="005844D5"/>
    <w:rsid w:val="00584F45"/>
    <w:rsid w:val="00585D05"/>
    <w:rsid w:val="00585E25"/>
    <w:rsid w:val="0058688A"/>
    <w:rsid w:val="00586DB7"/>
    <w:rsid w:val="00587A6C"/>
    <w:rsid w:val="00587A7F"/>
    <w:rsid w:val="00591A5F"/>
    <w:rsid w:val="00592D51"/>
    <w:rsid w:val="00592DC9"/>
    <w:rsid w:val="00593237"/>
    <w:rsid w:val="00594111"/>
    <w:rsid w:val="00594C5A"/>
    <w:rsid w:val="00595F13"/>
    <w:rsid w:val="00596ACA"/>
    <w:rsid w:val="00596BA2"/>
    <w:rsid w:val="005A1331"/>
    <w:rsid w:val="005A13D9"/>
    <w:rsid w:val="005A21E7"/>
    <w:rsid w:val="005A619B"/>
    <w:rsid w:val="005A6742"/>
    <w:rsid w:val="005A7E07"/>
    <w:rsid w:val="005B0576"/>
    <w:rsid w:val="005B0676"/>
    <w:rsid w:val="005B0BBE"/>
    <w:rsid w:val="005B26AB"/>
    <w:rsid w:val="005B2FFB"/>
    <w:rsid w:val="005B3131"/>
    <w:rsid w:val="005B34C7"/>
    <w:rsid w:val="005B43A3"/>
    <w:rsid w:val="005C029E"/>
    <w:rsid w:val="005C2DE5"/>
    <w:rsid w:val="005C4185"/>
    <w:rsid w:val="005C4D9B"/>
    <w:rsid w:val="005C5649"/>
    <w:rsid w:val="005C759C"/>
    <w:rsid w:val="005D15D4"/>
    <w:rsid w:val="005D1647"/>
    <w:rsid w:val="005D16A2"/>
    <w:rsid w:val="005D1AF5"/>
    <w:rsid w:val="005D4BF9"/>
    <w:rsid w:val="005D6B8C"/>
    <w:rsid w:val="005D754C"/>
    <w:rsid w:val="005E04E6"/>
    <w:rsid w:val="005E2821"/>
    <w:rsid w:val="005E339C"/>
    <w:rsid w:val="005E51FF"/>
    <w:rsid w:val="005E687A"/>
    <w:rsid w:val="005F0675"/>
    <w:rsid w:val="005F118C"/>
    <w:rsid w:val="005F1E61"/>
    <w:rsid w:val="005F289F"/>
    <w:rsid w:val="005F31AE"/>
    <w:rsid w:val="005F3B07"/>
    <w:rsid w:val="005F5AFD"/>
    <w:rsid w:val="005F66A9"/>
    <w:rsid w:val="005F75A1"/>
    <w:rsid w:val="006008CE"/>
    <w:rsid w:val="006016D6"/>
    <w:rsid w:val="006019EF"/>
    <w:rsid w:val="00603AE9"/>
    <w:rsid w:val="00603CCC"/>
    <w:rsid w:val="0060472E"/>
    <w:rsid w:val="0060526A"/>
    <w:rsid w:val="0060556B"/>
    <w:rsid w:val="0060567B"/>
    <w:rsid w:val="00605FE2"/>
    <w:rsid w:val="006062F0"/>
    <w:rsid w:val="00610C6B"/>
    <w:rsid w:val="006134C1"/>
    <w:rsid w:val="00613DD9"/>
    <w:rsid w:val="006141C5"/>
    <w:rsid w:val="00614AB9"/>
    <w:rsid w:val="00615514"/>
    <w:rsid w:val="00616B48"/>
    <w:rsid w:val="0062033F"/>
    <w:rsid w:val="00620DCE"/>
    <w:rsid w:val="00621327"/>
    <w:rsid w:val="0062204C"/>
    <w:rsid w:val="00622DC0"/>
    <w:rsid w:val="0062324D"/>
    <w:rsid w:val="00625B92"/>
    <w:rsid w:val="00626B85"/>
    <w:rsid w:val="00627571"/>
    <w:rsid w:val="00627590"/>
    <w:rsid w:val="00627F46"/>
    <w:rsid w:val="00632A58"/>
    <w:rsid w:val="00634286"/>
    <w:rsid w:val="00636911"/>
    <w:rsid w:val="0063740F"/>
    <w:rsid w:val="006378B4"/>
    <w:rsid w:val="0064003A"/>
    <w:rsid w:val="00641B25"/>
    <w:rsid w:val="00641EB5"/>
    <w:rsid w:val="00642A51"/>
    <w:rsid w:val="00642B46"/>
    <w:rsid w:val="00643C34"/>
    <w:rsid w:val="006441D7"/>
    <w:rsid w:val="00652227"/>
    <w:rsid w:val="00652C3A"/>
    <w:rsid w:val="006551D5"/>
    <w:rsid w:val="006564B2"/>
    <w:rsid w:val="006568C0"/>
    <w:rsid w:val="00660739"/>
    <w:rsid w:val="00660BDD"/>
    <w:rsid w:val="00663DEE"/>
    <w:rsid w:val="00667036"/>
    <w:rsid w:val="006702C0"/>
    <w:rsid w:val="0067051D"/>
    <w:rsid w:val="00672241"/>
    <w:rsid w:val="00672B93"/>
    <w:rsid w:val="006737A2"/>
    <w:rsid w:val="00673D41"/>
    <w:rsid w:val="0067410E"/>
    <w:rsid w:val="00674B4C"/>
    <w:rsid w:val="0067552A"/>
    <w:rsid w:val="0067639D"/>
    <w:rsid w:val="006777DD"/>
    <w:rsid w:val="00682C4E"/>
    <w:rsid w:val="00685261"/>
    <w:rsid w:val="00685A44"/>
    <w:rsid w:val="00685A6C"/>
    <w:rsid w:val="0068794B"/>
    <w:rsid w:val="00690777"/>
    <w:rsid w:val="00691A54"/>
    <w:rsid w:val="00692662"/>
    <w:rsid w:val="00693631"/>
    <w:rsid w:val="0069442A"/>
    <w:rsid w:val="006956A3"/>
    <w:rsid w:val="006A0A92"/>
    <w:rsid w:val="006A4CB8"/>
    <w:rsid w:val="006A51E5"/>
    <w:rsid w:val="006A6522"/>
    <w:rsid w:val="006A66BB"/>
    <w:rsid w:val="006B24A1"/>
    <w:rsid w:val="006B58FB"/>
    <w:rsid w:val="006B7922"/>
    <w:rsid w:val="006C1A01"/>
    <w:rsid w:val="006C1AEB"/>
    <w:rsid w:val="006C1F68"/>
    <w:rsid w:val="006C251F"/>
    <w:rsid w:val="006C336A"/>
    <w:rsid w:val="006C3E4A"/>
    <w:rsid w:val="006C57FB"/>
    <w:rsid w:val="006C5CEE"/>
    <w:rsid w:val="006D27E0"/>
    <w:rsid w:val="006D2B91"/>
    <w:rsid w:val="006D3061"/>
    <w:rsid w:val="006D4887"/>
    <w:rsid w:val="006D4AC6"/>
    <w:rsid w:val="006D5175"/>
    <w:rsid w:val="006D5291"/>
    <w:rsid w:val="006D6A10"/>
    <w:rsid w:val="006E1DC6"/>
    <w:rsid w:val="006E4544"/>
    <w:rsid w:val="006E6CFE"/>
    <w:rsid w:val="006E7641"/>
    <w:rsid w:val="006F1B12"/>
    <w:rsid w:val="006F41A9"/>
    <w:rsid w:val="006F6AAD"/>
    <w:rsid w:val="0070229F"/>
    <w:rsid w:val="00705063"/>
    <w:rsid w:val="007051F3"/>
    <w:rsid w:val="00706435"/>
    <w:rsid w:val="0071154E"/>
    <w:rsid w:val="00713503"/>
    <w:rsid w:val="007136FF"/>
    <w:rsid w:val="00713FB6"/>
    <w:rsid w:val="00714939"/>
    <w:rsid w:val="0071503F"/>
    <w:rsid w:val="00715D71"/>
    <w:rsid w:val="007166EF"/>
    <w:rsid w:val="0071781A"/>
    <w:rsid w:val="00721181"/>
    <w:rsid w:val="00722613"/>
    <w:rsid w:val="0072305C"/>
    <w:rsid w:val="007236AD"/>
    <w:rsid w:val="00724CA2"/>
    <w:rsid w:val="00727E63"/>
    <w:rsid w:val="00730374"/>
    <w:rsid w:val="00730C13"/>
    <w:rsid w:val="007352DE"/>
    <w:rsid w:val="0073738E"/>
    <w:rsid w:val="00737834"/>
    <w:rsid w:val="00737C0C"/>
    <w:rsid w:val="007415A2"/>
    <w:rsid w:val="00741961"/>
    <w:rsid w:val="00741A5D"/>
    <w:rsid w:val="00747A73"/>
    <w:rsid w:val="00751507"/>
    <w:rsid w:val="00752657"/>
    <w:rsid w:val="00754DAE"/>
    <w:rsid w:val="007560D9"/>
    <w:rsid w:val="007569DD"/>
    <w:rsid w:val="00757830"/>
    <w:rsid w:val="00757E6C"/>
    <w:rsid w:val="007621BE"/>
    <w:rsid w:val="007622A0"/>
    <w:rsid w:val="007648C0"/>
    <w:rsid w:val="0076693D"/>
    <w:rsid w:val="0076776D"/>
    <w:rsid w:val="00767BD1"/>
    <w:rsid w:val="0077003B"/>
    <w:rsid w:val="007710AF"/>
    <w:rsid w:val="00771294"/>
    <w:rsid w:val="007724E3"/>
    <w:rsid w:val="007727CA"/>
    <w:rsid w:val="007734B6"/>
    <w:rsid w:val="0077434F"/>
    <w:rsid w:val="0077444B"/>
    <w:rsid w:val="007750ED"/>
    <w:rsid w:val="00776AA3"/>
    <w:rsid w:val="0077791D"/>
    <w:rsid w:val="00780428"/>
    <w:rsid w:val="007812D7"/>
    <w:rsid w:val="00782784"/>
    <w:rsid w:val="007829C9"/>
    <w:rsid w:val="007837D1"/>
    <w:rsid w:val="00783C2B"/>
    <w:rsid w:val="00784DF5"/>
    <w:rsid w:val="0078569C"/>
    <w:rsid w:val="007863B9"/>
    <w:rsid w:val="007903FA"/>
    <w:rsid w:val="00792F85"/>
    <w:rsid w:val="007943D1"/>
    <w:rsid w:val="00797387"/>
    <w:rsid w:val="00797402"/>
    <w:rsid w:val="00797AB7"/>
    <w:rsid w:val="007A0BB9"/>
    <w:rsid w:val="007A11B3"/>
    <w:rsid w:val="007A5B4D"/>
    <w:rsid w:val="007A5F9D"/>
    <w:rsid w:val="007A7717"/>
    <w:rsid w:val="007B1142"/>
    <w:rsid w:val="007B1BA7"/>
    <w:rsid w:val="007B52CA"/>
    <w:rsid w:val="007B5DA0"/>
    <w:rsid w:val="007B5EDF"/>
    <w:rsid w:val="007B61CA"/>
    <w:rsid w:val="007B6922"/>
    <w:rsid w:val="007C0B39"/>
    <w:rsid w:val="007C1C97"/>
    <w:rsid w:val="007C34DC"/>
    <w:rsid w:val="007C37C8"/>
    <w:rsid w:val="007C4222"/>
    <w:rsid w:val="007C4983"/>
    <w:rsid w:val="007C5D52"/>
    <w:rsid w:val="007C6C56"/>
    <w:rsid w:val="007C791F"/>
    <w:rsid w:val="007C7AD2"/>
    <w:rsid w:val="007D19C3"/>
    <w:rsid w:val="007D263D"/>
    <w:rsid w:val="007D2C25"/>
    <w:rsid w:val="007D3FF6"/>
    <w:rsid w:val="007D7967"/>
    <w:rsid w:val="007D7AEE"/>
    <w:rsid w:val="007E03D5"/>
    <w:rsid w:val="007E2AC7"/>
    <w:rsid w:val="007E2F46"/>
    <w:rsid w:val="007E5204"/>
    <w:rsid w:val="007E5FC1"/>
    <w:rsid w:val="007E7D5A"/>
    <w:rsid w:val="007F0E41"/>
    <w:rsid w:val="007F153E"/>
    <w:rsid w:val="007F3ED1"/>
    <w:rsid w:val="007F480B"/>
    <w:rsid w:val="007F7132"/>
    <w:rsid w:val="007F7163"/>
    <w:rsid w:val="008016E3"/>
    <w:rsid w:val="00802ABE"/>
    <w:rsid w:val="00803588"/>
    <w:rsid w:val="00804D68"/>
    <w:rsid w:val="008050B6"/>
    <w:rsid w:val="008067EE"/>
    <w:rsid w:val="00806E06"/>
    <w:rsid w:val="00807367"/>
    <w:rsid w:val="00807F0D"/>
    <w:rsid w:val="00810422"/>
    <w:rsid w:val="00810A06"/>
    <w:rsid w:val="00810C34"/>
    <w:rsid w:val="008118DC"/>
    <w:rsid w:val="00811FF5"/>
    <w:rsid w:val="008121CD"/>
    <w:rsid w:val="008140D3"/>
    <w:rsid w:val="00814E4E"/>
    <w:rsid w:val="008151FF"/>
    <w:rsid w:val="0082201E"/>
    <w:rsid w:val="008258C8"/>
    <w:rsid w:val="00826974"/>
    <w:rsid w:val="008270BE"/>
    <w:rsid w:val="00827601"/>
    <w:rsid w:val="00830DE6"/>
    <w:rsid w:val="00835B89"/>
    <w:rsid w:val="00835EEE"/>
    <w:rsid w:val="008362EA"/>
    <w:rsid w:val="00836509"/>
    <w:rsid w:val="00837523"/>
    <w:rsid w:val="008406B2"/>
    <w:rsid w:val="00841A01"/>
    <w:rsid w:val="00842D05"/>
    <w:rsid w:val="008436B2"/>
    <w:rsid w:val="00843F95"/>
    <w:rsid w:val="00847CE4"/>
    <w:rsid w:val="008531A2"/>
    <w:rsid w:val="00853B72"/>
    <w:rsid w:val="00853D97"/>
    <w:rsid w:val="00855617"/>
    <w:rsid w:val="00856EBD"/>
    <w:rsid w:val="00860E25"/>
    <w:rsid w:val="00861BC7"/>
    <w:rsid w:val="00861E84"/>
    <w:rsid w:val="008627A8"/>
    <w:rsid w:val="0086562C"/>
    <w:rsid w:val="008703C3"/>
    <w:rsid w:val="0087246A"/>
    <w:rsid w:val="0087289B"/>
    <w:rsid w:val="0087573C"/>
    <w:rsid w:val="00876153"/>
    <w:rsid w:val="0088344D"/>
    <w:rsid w:val="008849B3"/>
    <w:rsid w:val="0088508D"/>
    <w:rsid w:val="008872DB"/>
    <w:rsid w:val="00890510"/>
    <w:rsid w:val="008909D4"/>
    <w:rsid w:val="008912BE"/>
    <w:rsid w:val="008916F5"/>
    <w:rsid w:val="008948BD"/>
    <w:rsid w:val="0089554A"/>
    <w:rsid w:val="008956C5"/>
    <w:rsid w:val="00897A50"/>
    <w:rsid w:val="008A2C91"/>
    <w:rsid w:val="008A2D68"/>
    <w:rsid w:val="008A3251"/>
    <w:rsid w:val="008A54A5"/>
    <w:rsid w:val="008A7C86"/>
    <w:rsid w:val="008A7EB7"/>
    <w:rsid w:val="008B0C40"/>
    <w:rsid w:val="008B1819"/>
    <w:rsid w:val="008B4D2A"/>
    <w:rsid w:val="008C0C92"/>
    <w:rsid w:val="008C1717"/>
    <w:rsid w:val="008C38F9"/>
    <w:rsid w:val="008C498C"/>
    <w:rsid w:val="008C4D53"/>
    <w:rsid w:val="008C5715"/>
    <w:rsid w:val="008C5C3D"/>
    <w:rsid w:val="008C5C53"/>
    <w:rsid w:val="008C6775"/>
    <w:rsid w:val="008C6CDF"/>
    <w:rsid w:val="008C71F8"/>
    <w:rsid w:val="008D054E"/>
    <w:rsid w:val="008D0CA2"/>
    <w:rsid w:val="008D1479"/>
    <w:rsid w:val="008D2F26"/>
    <w:rsid w:val="008D3077"/>
    <w:rsid w:val="008D47BD"/>
    <w:rsid w:val="008D4C1E"/>
    <w:rsid w:val="008D6C38"/>
    <w:rsid w:val="008E0711"/>
    <w:rsid w:val="008E0A40"/>
    <w:rsid w:val="008E369A"/>
    <w:rsid w:val="008E480E"/>
    <w:rsid w:val="008E4DDB"/>
    <w:rsid w:val="008E52D3"/>
    <w:rsid w:val="008E7902"/>
    <w:rsid w:val="008F03A1"/>
    <w:rsid w:val="008F09F5"/>
    <w:rsid w:val="008F1CB8"/>
    <w:rsid w:val="008F4401"/>
    <w:rsid w:val="008F5B62"/>
    <w:rsid w:val="008F68A4"/>
    <w:rsid w:val="009000D9"/>
    <w:rsid w:val="00903C61"/>
    <w:rsid w:val="0090582B"/>
    <w:rsid w:val="0091008F"/>
    <w:rsid w:val="009108EF"/>
    <w:rsid w:val="00911881"/>
    <w:rsid w:val="009134A3"/>
    <w:rsid w:val="0091422C"/>
    <w:rsid w:val="00914962"/>
    <w:rsid w:val="00915474"/>
    <w:rsid w:val="00915941"/>
    <w:rsid w:val="00917952"/>
    <w:rsid w:val="00920659"/>
    <w:rsid w:val="00921B76"/>
    <w:rsid w:val="0092263B"/>
    <w:rsid w:val="00922AE5"/>
    <w:rsid w:val="00923370"/>
    <w:rsid w:val="009236EC"/>
    <w:rsid w:val="00923A49"/>
    <w:rsid w:val="00923AB3"/>
    <w:rsid w:val="00924360"/>
    <w:rsid w:val="00924820"/>
    <w:rsid w:val="00927540"/>
    <w:rsid w:val="00931684"/>
    <w:rsid w:val="00934E33"/>
    <w:rsid w:val="0093506A"/>
    <w:rsid w:val="0093650D"/>
    <w:rsid w:val="00940933"/>
    <w:rsid w:val="00945076"/>
    <w:rsid w:val="0095063F"/>
    <w:rsid w:val="00950D8F"/>
    <w:rsid w:val="009533B5"/>
    <w:rsid w:val="0095418B"/>
    <w:rsid w:val="009542BB"/>
    <w:rsid w:val="00955A84"/>
    <w:rsid w:val="009577CD"/>
    <w:rsid w:val="00957D62"/>
    <w:rsid w:val="00961C8F"/>
    <w:rsid w:val="00961D44"/>
    <w:rsid w:val="00961DFB"/>
    <w:rsid w:val="0096455F"/>
    <w:rsid w:val="00967291"/>
    <w:rsid w:val="009709D1"/>
    <w:rsid w:val="00971111"/>
    <w:rsid w:val="009726BF"/>
    <w:rsid w:val="009730A1"/>
    <w:rsid w:val="00974FEA"/>
    <w:rsid w:val="009759A8"/>
    <w:rsid w:val="00977000"/>
    <w:rsid w:val="00980DF9"/>
    <w:rsid w:val="00980EAB"/>
    <w:rsid w:val="00982A13"/>
    <w:rsid w:val="00984FF9"/>
    <w:rsid w:val="009857EC"/>
    <w:rsid w:val="00985E5A"/>
    <w:rsid w:val="00985F9A"/>
    <w:rsid w:val="00986499"/>
    <w:rsid w:val="0098667C"/>
    <w:rsid w:val="00987811"/>
    <w:rsid w:val="00992073"/>
    <w:rsid w:val="00994C05"/>
    <w:rsid w:val="00996FB7"/>
    <w:rsid w:val="009977FD"/>
    <w:rsid w:val="009A3A3F"/>
    <w:rsid w:val="009A410A"/>
    <w:rsid w:val="009A5388"/>
    <w:rsid w:val="009A5AFC"/>
    <w:rsid w:val="009A6294"/>
    <w:rsid w:val="009B1CF6"/>
    <w:rsid w:val="009B4859"/>
    <w:rsid w:val="009B5A67"/>
    <w:rsid w:val="009B6080"/>
    <w:rsid w:val="009B751C"/>
    <w:rsid w:val="009C0717"/>
    <w:rsid w:val="009C0A7D"/>
    <w:rsid w:val="009C231A"/>
    <w:rsid w:val="009C5004"/>
    <w:rsid w:val="009C52F9"/>
    <w:rsid w:val="009C6C7C"/>
    <w:rsid w:val="009C7887"/>
    <w:rsid w:val="009D1F8F"/>
    <w:rsid w:val="009D42D9"/>
    <w:rsid w:val="009D5B64"/>
    <w:rsid w:val="009E0575"/>
    <w:rsid w:val="009E1618"/>
    <w:rsid w:val="009E27B2"/>
    <w:rsid w:val="009E5D20"/>
    <w:rsid w:val="009F37A6"/>
    <w:rsid w:val="009F3D65"/>
    <w:rsid w:val="009F4146"/>
    <w:rsid w:val="009F4464"/>
    <w:rsid w:val="009F46EB"/>
    <w:rsid w:val="009F5451"/>
    <w:rsid w:val="009F585B"/>
    <w:rsid w:val="009F59C0"/>
    <w:rsid w:val="009F5EFA"/>
    <w:rsid w:val="009F6B83"/>
    <w:rsid w:val="009F7BA1"/>
    <w:rsid w:val="00A005A8"/>
    <w:rsid w:val="00A0066A"/>
    <w:rsid w:val="00A028E6"/>
    <w:rsid w:val="00A03065"/>
    <w:rsid w:val="00A03AC0"/>
    <w:rsid w:val="00A03CB7"/>
    <w:rsid w:val="00A04305"/>
    <w:rsid w:val="00A04FEB"/>
    <w:rsid w:val="00A05721"/>
    <w:rsid w:val="00A06B4B"/>
    <w:rsid w:val="00A06FDB"/>
    <w:rsid w:val="00A07525"/>
    <w:rsid w:val="00A1020C"/>
    <w:rsid w:val="00A116F2"/>
    <w:rsid w:val="00A142CE"/>
    <w:rsid w:val="00A14A4E"/>
    <w:rsid w:val="00A161B3"/>
    <w:rsid w:val="00A22516"/>
    <w:rsid w:val="00A23153"/>
    <w:rsid w:val="00A236E5"/>
    <w:rsid w:val="00A23B84"/>
    <w:rsid w:val="00A2459B"/>
    <w:rsid w:val="00A24627"/>
    <w:rsid w:val="00A2544B"/>
    <w:rsid w:val="00A25945"/>
    <w:rsid w:val="00A25EAB"/>
    <w:rsid w:val="00A2604F"/>
    <w:rsid w:val="00A27D58"/>
    <w:rsid w:val="00A31992"/>
    <w:rsid w:val="00A337C9"/>
    <w:rsid w:val="00A33EF1"/>
    <w:rsid w:val="00A33FD1"/>
    <w:rsid w:val="00A36936"/>
    <w:rsid w:val="00A3737E"/>
    <w:rsid w:val="00A40429"/>
    <w:rsid w:val="00A4062A"/>
    <w:rsid w:val="00A40D9F"/>
    <w:rsid w:val="00A41168"/>
    <w:rsid w:val="00A4220A"/>
    <w:rsid w:val="00A44A6C"/>
    <w:rsid w:val="00A45B18"/>
    <w:rsid w:val="00A4640E"/>
    <w:rsid w:val="00A464D7"/>
    <w:rsid w:val="00A47E05"/>
    <w:rsid w:val="00A51B99"/>
    <w:rsid w:val="00A53807"/>
    <w:rsid w:val="00A53C04"/>
    <w:rsid w:val="00A55214"/>
    <w:rsid w:val="00A5528B"/>
    <w:rsid w:val="00A5532C"/>
    <w:rsid w:val="00A60D63"/>
    <w:rsid w:val="00A63055"/>
    <w:rsid w:val="00A63711"/>
    <w:rsid w:val="00A6448D"/>
    <w:rsid w:val="00A65BAB"/>
    <w:rsid w:val="00A673B0"/>
    <w:rsid w:val="00A675F3"/>
    <w:rsid w:val="00A70703"/>
    <w:rsid w:val="00A722BA"/>
    <w:rsid w:val="00A7352B"/>
    <w:rsid w:val="00A74C1A"/>
    <w:rsid w:val="00A74DE7"/>
    <w:rsid w:val="00A760CA"/>
    <w:rsid w:val="00A82C53"/>
    <w:rsid w:val="00A84202"/>
    <w:rsid w:val="00A84E5B"/>
    <w:rsid w:val="00A854B8"/>
    <w:rsid w:val="00A86859"/>
    <w:rsid w:val="00A86869"/>
    <w:rsid w:val="00A918D3"/>
    <w:rsid w:val="00A920A8"/>
    <w:rsid w:val="00A92D48"/>
    <w:rsid w:val="00A939BF"/>
    <w:rsid w:val="00AA046D"/>
    <w:rsid w:val="00AA0EB9"/>
    <w:rsid w:val="00AA1092"/>
    <w:rsid w:val="00AA595C"/>
    <w:rsid w:val="00AA5D12"/>
    <w:rsid w:val="00AA6362"/>
    <w:rsid w:val="00AA67B5"/>
    <w:rsid w:val="00AA6EB6"/>
    <w:rsid w:val="00AA7603"/>
    <w:rsid w:val="00AB0722"/>
    <w:rsid w:val="00AB2AD1"/>
    <w:rsid w:val="00AB34D4"/>
    <w:rsid w:val="00AB3D03"/>
    <w:rsid w:val="00AB687B"/>
    <w:rsid w:val="00AB6D7F"/>
    <w:rsid w:val="00AB6DFD"/>
    <w:rsid w:val="00AB73DE"/>
    <w:rsid w:val="00AB7B52"/>
    <w:rsid w:val="00AC04ED"/>
    <w:rsid w:val="00AC08FF"/>
    <w:rsid w:val="00AC13FD"/>
    <w:rsid w:val="00AC141E"/>
    <w:rsid w:val="00AC1573"/>
    <w:rsid w:val="00AC1F52"/>
    <w:rsid w:val="00AC2338"/>
    <w:rsid w:val="00AC2B1A"/>
    <w:rsid w:val="00AC383F"/>
    <w:rsid w:val="00AC4A83"/>
    <w:rsid w:val="00AC5A35"/>
    <w:rsid w:val="00AC7205"/>
    <w:rsid w:val="00AD0900"/>
    <w:rsid w:val="00AD425D"/>
    <w:rsid w:val="00AD55C2"/>
    <w:rsid w:val="00AD6856"/>
    <w:rsid w:val="00AD68B8"/>
    <w:rsid w:val="00AE2523"/>
    <w:rsid w:val="00AE3FF2"/>
    <w:rsid w:val="00AE4CB2"/>
    <w:rsid w:val="00AE52BA"/>
    <w:rsid w:val="00AE650E"/>
    <w:rsid w:val="00AE6B33"/>
    <w:rsid w:val="00AF284E"/>
    <w:rsid w:val="00AF2F2A"/>
    <w:rsid w:val="00AF304B"/>
    <w:rsid w:val="00AF3822"/>
    <w:rsid w:val="00AF4D38"/>
    <w:rsid w:val="00AF561A"/>
    <w:rsid w:val="00AF5665"/>
    <w:rsid w:val="00AF5B08"/>
    <w:rsid w:val="00AF691F"/>
    <w:rsid w:val="00AF6CC3"/>
    <w:rsid w:val="00B016EF"/>
    <w:rsid w:val="00B03B4D"/>
    <w:rsid w:val="00B04A5C"/>
    <w:rsid w:val="00B050B1"/>
    <w:rsid w:val="00B05AE9"/>
    <w:rsid w:val="00B06EAA"/>
    <w:rsid w:val="00B0707C"/>
    <w:rsid w:val="00B10291"/>
    <w:rsid w:val="00B13725"/>
    <w:rsid w:val="00B13D18"/>
    <w:rsid w:val="00B140C9"/>
    <w:rsid w:val="00B14349"/>
    <w:rsid w:val="00B178AB"/>
    <w:rsid w:val="00B20BCA"/>
    <w:rsid w:val="00B2467B"/>
    <w:rsid w:val="00B25935"/>
    <w:rsid w:val="00B264B5"/>
    <w:rsid w:val="00B30153"/>
    <w:rsid w:val="00B30E77"/>
    <w:rsid w:val="00B31BF1"/>
    <w:rsid w:val="00B32DDD"/>
    <w:rsid w:val="00B35281"/>
    <w:rsid w:val="00B3560C"/>
    <w:rsid w:val="00B370BB"/>
    <w:rsid w:val="00B3741A"/>
    <w:rsid w:val="00B3745E"/>
    <w:rsid w:val="00B4779F"/>
    <w:rsid w:val="00B5009B"/>
    <w:rsid w:val="00B545B6"/>
    <w:rsid w:val="00B5476E"/>
    <w:rsid w:val="00B61016"/>
    <w:rsid w:val="00B6137F"/>
    <w:rsid w:val="00B61F0E"/>
    <w:rsid w:val="00B62650"/>
    <w:rsid w:val="00B62AD4"/>
    <w:rsid w:val="00B63482"/>
    <w:rsid w:val="00B668E1"/>
    <w:rsid w:val="00B66AB2"/>
    <w:rsid w:val="00B66FDA"/>
    <w:rsid w:val="00B67D00"/>
    <w:rsid w:val="00B7066D"/>
    <w:rsid w:val="00B713CF"/>
    <w:rsid w:val="00B733D8"/>
    <w:rsid w:val="00B73F51"/>
    <w:rsid w:val="00B75648"/>
    <w:rsid w:val="00B760E1"/>
    <w:rsid w:val="00B76AF9"/>
    <w:rsid w:val="00B772D4"/>
    <w:rsid w:val="00B804E0"/>
    <w:rsid w:val="00B805D6"/>
    <w:rsid w:val="00B80B0E"/>
    <w:rsid w:val="00B80B35"/>
    <w:rsid w:val="00B81402"/>
    <w:rsid w:val="00B8166A"/>
    <w:rsid w:val="00B81FD0"/>
    <w:rsid w:val="00B82133"/>
    <w:rsid w:val="00B82FED"/>
    <w:rsid w:val="00B8322E"/>
    <w:rsid w:val="00B8356C"/>
    <w:rsid w:val="00B83DE7"/>
    <w:rsid w:val="00B83F21"/>
    <w:rsid w:val="00B84118"/>
    <w:rsid w:val="00B84A79"/>
    <w:rsid w:val="00B863BA"/>
    <w:rsid w:val="00B86A81"/>
    <w:rsid w:val="00B90510"/>
    <w:rsid w:val="00B937D1"/>
    <w:rsid w:val="00B93D58"/>
    <w:rsid w:val="00B96B76"/>
    <w:rsid w:val="00BA02FA"/>
    <w:rsid w:val="00BA5483"/>
    <w:rsid w:val="00BA679A"/>
    <w:rsid w:val="00BA67D0"/>
    <w:rsid w:val="00BA75A7"/>
    <w:rsid w:val="00BA772E"/>
    <w:rsid w:val="00BB2413"/>
    <w:rsid w:val="00BB3CF6"/>
    <w:rsid w:val="00BB4C75"/>
    <w:rsid w:val="00BB7502"/>
    <w:rsid w:val="00BC0674"/>
    <w:rsid w:val="00BC0A31"/>
    <w:rsid w:val="00BC0C4E"/>
    <w:rsid w:val="00BC47AE"/>
    <w:rsid w:val="00BD35B0"/>
    <w:rsid w:val="00BD3710"/>
    <w:rsid w:val="00BD573A"/>
    <w:rsid w:val="00BD70A8"/>
    <w:rsid w:val="00BD77BD"/>
    <w:rsid w:val="00BE06BE"/>
    <w:rsid w:val="00BE1885"/>
    <w:rsid w:val="00BE4548"/>
    <w:rsid w:val="00BE6788"/>
    <w:rsid w:val="00BE69BF"/>
    <w:rsid w:val="00BE6C41"/>
    <w:rsid w:val="00BE7038"/>
    <w:rsid w:val="00BE7135"/>
    <w:rsid w:val="00BE7A97"/>
    <w:rsid w:val="00BE7D38"/>
    <w:rsid w:val="00BF1160"/>
    <w:rsid w:val="00BF13A6"/>
    <w:rsid w:val="00BF169E"/>
    <w:rsid w:val="00BF1F29"/>
    <w:rsid w:val="00BF43E1"/>
    <w:rsid w:val="00BF7AC9"/>
    <w:rsid w:val="00BF7B15"/>
    <w:rsid w:val="00C00AD4"/>
    <w:rsid w:val="00C02731"/>
    <w:rsid w:val="00C0323B"/>
    <w:rsid w:val="00C045A7"/>
    <w:rsid w:val="00C062F5"/>
    <w:rsid w:val="00C07D7B"/>
    <w:rsid w:val="00C120C8"/>
    <w:rsid w:val="00C13391"/>
    <w:rsid w:val="00C157FD"/>
    <w:rsid w:val="00C15EAF"/>
    <w:rsid w:val="00C16760"/>
    <w:rsid w:val="00C168D3"/>
    <w:rsid w:val="00C16A4D"/>
    <w:rsid w:val="00C16C0B"/>
    <w:rsid w:val="00C16FA2"/>
    <w:rsid w:val="00C17C80"/>
    <w:rsid w:val="00C21F8D"/>
    <w:rsid w:val="00C22AEF"/>
    <w:rsid w:val="00C23E97"/>
    <w:rsid w:val="00C240B1"/>
    <w:rsid w:val="00C24270"/>
    <w:rsid w:val="00C271AC"/>
    <w:rsid w:val="00C30415"/>
    <w:rsid w:val="00C32332"/>
    <w:rsid w:val="00C32784"/>
    <w:rsid w:val="00C33A99"/>
    <w:rsid w:val="00C33C75"/>
    <w:rsid w:val="00C345BD"/>
    <w:rsid w:val="00C35721"/>
    <w:rsid w:val="00C3652A"/>
    <w:rsid w:val="00C40EBB"/>
    <w:rsid w:val="00C411CC"/>
    <w:rsid w:val="00C438B4"/>
    <w:rsid w:val="00C43EF5"/>
    <w:rsid w:val="00C4448E"/>
    <w:rsid w:val="00C44C80"/>
    <w:rsid w:val="00C47895"/>
    <w:rsid w:val="00C515CC"/>
    <w:rsid w:val="00C51F22"/>
    <w:rsid w:val="00C52103"/>
    <w:rsid w:val="00C5268E"/>
    <w:rsid w:val="00C5377E"/>
    <w:rsid w:val="00C53BAA"/>
    <w:rsid w:val="00C54AB4"/>
    <w:rsid w:val="00C57414"/>
    <w:rsid w:val="00C57E0E"/>
    <w:rsid w:val="00C60702"/>
    <w:rsid w:val="00C63121"/>
    <w:rsid w:val="00C6449F"/>
    <w:rsid w:val="00C66152"/>
    <w:rsid w:val="00C71042"/>
    <w:rsid w:val="00C71432"/>
    <w:rsid w:val="00C72311"/>
    <w:rsid w:val="00C733E5"/>
    <w:rsid w:val="00C73D2A"/>
    <w:rsid w:val="00C74139"/>
    <w:rsid w:val="00C751E1"/>
    <w:rsid w:val="00C81700"/>
    <w:rsid w:val="00C818CB"/>
    <w:rsid w:val="00C8486A"/>
    <w:rsid w:val="00C90FC4"/>
    <w:rsid w:val="00C91A89"/>
    <w:rsid w:val="00C92E52"/>
    <w:rsid w:val="00C9302C"/>
    <w:rsid w:val="00C954F6"/>
    <w:rsid w:val="00C97234"/>
    <w:rsid w:val="00CA125B"/>
    <w:rsid w:val="00CA1893"/>
    <w:rsid w:val="00CA21B3"/>
    <w:rsid w:val="00CA24DC"/>
    <w:rsid w:val="00CA38FE"/>
    <w:rsid w:val="00CA4044"/>
    <w:rsid w:val="00CA5D52"/>
    <w:rsid w:val="00CB0581"/>
    <w:rsid w:val="00CB17E5"/>
    <w:rsid w:val="00CB2637"/>
    <w:rsid w:val="00CB285E"/>
    <w:rsid w:val="00CB37F9"/>
    <w:rsid w:val="00CB4DBB"/>
    <w:rsid w:val="00CB4E15"/>
    <w:rsid w:val="00CB50D7"/>
    <w:rsid w:val="00CC064E"/>
    <w:rsid w:val="00CC27E1"/>
    <w:rsid w:val="00CC297F"/>
    <w:rsid w:val="00CC30EF"/>
    <w:rsid w:val="00CC3643"/>
    <w:rsid w:val="00CC3676"/>
    <w:rsid w:val="00CC3C82"/>
    <w:rsid w:val="00CC43F9"/>
    <w:rsid w:val="00CC4657"/>
    <w:rsid w:val="00CC4847"/>
    <w:rsid w:val="00CC6E2A"/>
    <w:rsid w:val="00CC7FBA"/>
    <w:rsid w:val="00CD0C30"/>
    <w:rsid w:val="00CD1426"/>
    <w:rsid w:val="00CD16A3"/>
    <w:rsid w:val="00CD16E8"/>
    <w:rsid w:val="00CD1C5E"/>
    <w:rsid w:val="00CD1CDC"/>
    <w:rsid w:val="00CD33D6"/>
    <w:rsid w:val="00CD6B61"/>
    <w:rsid w:val="00CE43F4"/>
    <w:rsid w:val="00CE4417"/>
    <w:rsid w:val="00CE4EB6"/>
    <w:rsid w:val="00CE544B"/>
    <w:rsid w:val="00CE5FBB"/>
    <w:rsid w:val="00CF1A73"/>
    <w:rsid w:val="00CF1AE2"/>
    <w:rsid w:val="00CF2E2B"/>
    <w:rsid w:val="00CF6515"/>
    <w:rsid w:val="00CF7AB5"/>
    <w:rsid w:val="00D00F61"/>
    <w:rsid w:val="00D00FF5"/>
    <w:rsid w:val="00D022BC"/>
    <w:rsid w:val="00D03D8F"/>
    <w:rsid w:val="00D05377"/>
    <w:rsid w:val="00D13854"/>
    <w:rsid w:val="00D152A8"/>
    <w:rsid w:val="00D17366"/>
    <w:rsid w:val="00D178B0"/>
    <w:rsid w:val="00D17A31"/>
    <w:rsid w:val="00D17CCB"/>
    <w:rsid w:val="00D17CD7"/>
    <w:rsid w:val="00D20642"/>
    <w:rsid w:val="00D21244"/>
    <w:rsid w:val="00D212D7"/>
    <w:rsid w:val="00D21D00"/>
    <w:rsid w:val="00D2489B"/>
    <w:rsid w:val="00D25E18"/>
    <w:rsid w:val="00D2608B"/>
    <w:rsid w:val="00D261DC"/>
    <w:rsid w:val="00D27280"/>
    <w:rsid w:val="00D31249"/>
    <w:rsid w:val="00D3210E"/>
    <w:rsid w:val="00D325CE"/>
    <w:rsid w:val="00D32FC8"/>
    <w:rsid w:val="00D35090"/>
    <w:rsid w:val="00D3540A"/>
    <w:rsid w:val="00D35754"/>
    <w:rsid w:val="00D3586A"/>
    <w:rsid w:val="00D3778B"/>
    <w:rsid w:val="00D37D39"/>
    <w:rsid w:val="00D40603"/>
    <w:rsid w:val="00D414A3"/>
    <w:rsid w:val="00D424F8"/>
    <w:rsid w:val="00D4463D"/>
    <w:rsid w:val="00D44F87"/>
    <w:rsid w:val="00D458EE"/>
    <w:rsid w:val="00D4590B"/>
    <w:rsid w:val="00D46C13"/>
    <w:rsid w:val="00D46E4E"/>
    <w:rsid w:val="00D505D2"/>
    <w:rsid w:val="00D51BE5"/>
    <w:rsid w:val="00D520B5"/>
    <w:rsid w:val="00D523DB"/>
    <w:rsid w:val="00D5247D"/>
    <w:rsid w:val="00D52DAB"/>
    <w:rsid w:val="00D5788F"/>
    <w:rsid w:val="00D61685"/>
    <w:rsid w:val="00D622D7"/>
    <w:rsid w:val="00D641CA"/>
    <w:rsid w:val="00D64509"/>
    <w:rsid w:val="00D674AD"/>
    <w:rsid w:val="00D72849"/>
    <w:rsid w:val="00D72BCA"/>
    <w:rsid w:val="00D74E3B"/>
    <w:rsid w:val="00D760CC"/>
    <w:rsid w:val="00D76B91"/>
    <w:rsid w:val="00D77726"/>
    <w:rsid w:val="00D80517"/>
    <w:rsid w:val="00D81B42"/>
    <w:rsid w:val="00D81F04"/>
    <w:rsid w:val="00D82CCA"/>
    <w:rsid w:val="00D8487C"/>
    <w:rsid w:val="00D87635"/>
    <w:rsid w:val="00D911DE"/>
    <w:rsid w:val="00D94BA9"/>
    <w:rsid w:val="00D97F8B"/>
    <w:rsid w:val="00DA0C1D"/>
    <w:rsid w:val="00DA2081"/>
    <w:rsid w:val="00DA2E20"/>
    <w:rsid w:val="00DA3AE9"/>
    <w:rsid w:val="00DA41B7"/>
    <w:rsid w:val="00DA41C9"/>
    <w:rsid w:val="00DA428D"/>
    <w:rsid w:val="00DA6A8E"/>
    <w:rsid w:val="00DA7D5B"/>
    <w:rsid w:val="00DB2793"/>
    <w:rsid w:val="00DB28CB"/>
    <w:rsid w:val="00DB2A51"/>
    <w:rsid w:val="00DB349A"/>
    <w:rsid w:val="00DB3D79"/>
    <w:rsid w:val="00DB4592"/>
    <w:rsid w:val="00DB5DF5"/>
    <w:rsid w:val="00DB5FF6"/>
    <w:rsid w:val="00DB601B"/>
    <w:rsid w:val="00DB775C"/>
    <w:rsid w:val="00DC0073"/>
    <w:rsid w:val="00DC0256"/>
    <w:rsid w:val="00DC1E86"/>
    <w:rsid w:val="00DC1F3C"/>
    <w:rsid w:val="00DC33C9"/>
    <w:rsid w:val="00DC38B8"/>
    <w:rsid w:val="00DC4985"/>
    <w:rsid w:val="00DD0CF6"/>
    <w:rsid w:val="00DD28F4"/>
    <w:rsid w:val="00DD2C96"/>
    <w:rsid w:val="00DD2DA5"/>
    <w:rsid w:val="00DD3905"/>
    <w:rsid w:val="00DD4676"/>
    <w:rsid w:val="00DD4733"/>
    <w:rsid w:val="00DD5935"/>
    <w:rsid w:val="00DD7A16"/>
    <w:rsid w:val="00DE2396"/>
    <w:rsid w:val="00DE3532"/>
    <w:rsid w:val="00DE3908"/>
    <w:rsid w:val="00DE4695"/>
    <w:rsid w:val="00DE6871"/>
    <w:rsid w:val="00DF0693"/>
    <w:rsid w:val="00DF16D1"/>
    <w:rsid w:val="00DF18C6"/>
    <w:rsid w:val="00DF2333"/>
    <w:rsid w:val="00DF54B1"/>
    <w:rsid w:val="00DF5949"/>
    <w:rsid w:val="00DF5CEA"/>
    <w:rsid w:val="00DF5F06"/>
    <w:rsid w:val="00DF5FA1"/>
    <w:rsid w:val="00DF77AB"/>
    <w:rsid w:val="00E003F7"/>
    <w:rsid w:val="00E0129A"/>
    <w:rsid w:val="00E013B5"/>
    <w:rsid w:val="00E0272B"/>
    <w:rsid w:val="00E04591"/>
    <w:rsid w:val="00E06A9A"/>
    <w:rsid w:val="00E10333"/>
    <w:rsid w:val="00E152FE"/>
    <w:rsid w:val="00E176C3"/>
    <w:rsid w:val="00E21EF5"/>
    <w:rsid w:val="00E240D0"/>
    <w:rsid w:val="00E24494"/>
    <w:rsid w:val="00E25C71"/>
    <w:rsid w:val="00E25E8F"/>
    <w:rsid w:val="00E26B71"/>
    <w:rsid w:val="00E26E16"/>
    <w:rsid w:val="00E30C64"/>
    <w:rsid w:val="00E310E2"/>
    <w:rsid w:val="00E33C15"/>
    <w:rsid w:val="00E352E5"/>
    <w:rsid w:val="00E3647F"/>
    <w:rsid w:val="00E37A64"/>
    <w:rsid w:val="00E37AE6"/>
    <w:rsid w:val="00E44DCE"/>
    <w:rsid w:val="00E4786A"/>
    <w:rsid w:val="00E52E22"/>
    <w:rsid w:val="00E53546"/>
    <w:rsid w:val="00E53C41"/>
    <w:rsid w:val="00E53DEA"/>
    <w:rsid w:val="00E53E70"/>
    <w:rsid w:val="00E566F9"/>
    <w:rsid w:val="00E56C2C"/>
    <w:rsid w:val="00E570F3"/>
    <w:rsid w:val="00E57E96"/>
    <w:rsid w:val="00E60C18"/>
    <w:rsid w:val="00E61821"/>
    <w:rsid w:val="00E62104"/>
    <w:rsid w:val="00E62D30"/>
    <w:rsid w:val="00E63CF6"/>
    <w:rsid w:val="00E6616E"/>
    <w:rsid w:val="00E66AFE"/>
    <w:rsid w:val="00E70252"/>
    <w:rsid w:val="00E71721"/>
    <w:rsid w:val="00E73A13"/>
    <w:rsid w:val="00E74E73"/>
    <w:rsid w:val="00E75354"/>
    <w:rsid w:val="00E76CE1"/>
    <w:rsid w:val="00E813D6"/>
    <w:rsid w:val="00E81C66"/>
    <w:rsid w:val="00E82819"/>
    <w:rsid w:val="00E848BF"/>
    <w:rsid w:val="00E84E40"/>
    <w:rsid w:val="00E85394"/>
    <w:rsid w:val="00E866E0"/>
    <w:rsid w:val="00E86CA6"/>
    <w:rsid w:val="00E86F38"/>
    <w:rsid w:val="00E87215"/>
    <w:rsid w:val="00E90CAC"/>
    <w:rsid w:val="00E93524"/>
    <w:rsid w:val="00E9356D"/>
    <w:rsid w:val="00E938BC"/>
    <w:rsid w:val="00E958CD"/>
    <w:rsid w:val="00E95BA0"/>
    <w:rsid w:val="00E95F60"/>
    <w:rsid w:val="00E96970"/>
    <w:rsid w:val="00E97178"/>
    <w:rsid w:val="00E9786F"/>
    <w:rsid w:val="00EA4AD7"/>
    <w:rsid w:val="00EA742B"/>
    <w:rsid w:val="00EB23C6"/>
    <w:rsid w:val="00EB4D04"/>
    <w:rsid w:val="00EB4EAF"/>
    <w:rsid w:val="00EB6366"/>
    <w:rsid w:val="00EB655E"/>
    <w:rsid w:val="00EB6FC5"/>
    <w:rsid w:val="00EB7FB1"/>
    <w:rsid w:val="00EC29AB"/>
    <w:rsid w:val="00EC2ACF"/>
    <w:rsid w:val="00EC2CF2"/>
    <w:rsid w:val="00EC3D3E"/>
    <w:rsid w:val="00EC48C1"/>
    <w:rsid w:val="00EC5941"/>
    <w:rsid w:val="00EC5D6C"/>
    <w:rsid w:val="00EC61B4"/>
    <w:rsid w:val="00EC66B6"/>
    <w:rsid w:val="00EC773B"/>
    <w:rsid w:val="00EC7D94"/>
    <w:rsid w:val="00ED11D0"/>
    <w:rsid w:val="00ED2730"/>
    <w:rsid w:val="00ED2A2B"/>
    <w:rsid w:val="00ED2D61"/>
    <w:rsid w:val="00ED3A78"/>
    <w:rsid w:val="00ED75C1"/>
    <w:rsid w:val="00EE0991"/>
    <w:rsid w:val="00EE1197"/>
    <w:rsid w:val="00EE233B"/>
    <w:rsid w:val="00EE3A8D"/>
    <w:rsid w:val="00EE3DA2"/>
    <w:rsid w:val="00EE4C2E"/>
    <w:rsid w:val="00EE5829"/>
    <w:rsid w:val="00EE6E37"/>
    <w:rsid w:val="00EE786C"/>
    <w:rsid w:val="00EF06B6"/>
    <w:rsid w:val="00EF0958"/>
    <w:rsid w:val="00EF0C10"/>
    <w:rsid w:val="00EF11C2"/>
    <w:rsid w:val="00EF1BEF"/>
    <w:rsid w:val="00EF4649"/>
    <w:rsid w:val="00EF4BD9"/>
    <w:rsid w:val="00EF58D8"/>
    <w:rsid w:val="00F000B0"/>
    <w:rsid w:val="00F0323C"/>
    <w:rsid w:val="00F07970"/>
    <w:rsid w:val="00F07D29"/>
    <w:rsid w:val="00F11EBB"/>
    <w:rsid w:val="00F12103"/>
    <w:rsid w:val="00F13FAD"/>
    <w:rsid w:val="00F16FFB"/>
    <w:rsid w:val="00F20B7A"/>
    <w:rsid w:val="00F20C1C"/>
    <w:rsid w:val="00F2172B"/>
    <w:rsid w:val="00F21B4E"/>
    <w:rsid w:val="00F232BE"/>
    <w:rsid w:val="00F23D21"/>
    <w:rsid w:val="00F2439D"/>
    <w:rsid w:val="00F24EAC"/>
    <w:rsid w:val="00F25BA2"/>
    <w:rsid w:val="00F26BEF"/>
    <w:rsid w:val="00F27BE6"/>
    <w:rsid w:val="00F306B8"/>
    <w:rsid w:val="00F30A6A"/>
    <w:rsid w:val="00F317BD"/>
    <w:rsid w:val="00F3223E"/>
    <w:rsid w:val="00F32430"/>
    <w:rsid w:val="00F330BF"/>
    <w:rsid w:val="00F3484A"/>
    <w:rsid w:val="00F34B2A"/>
    <w:rsid w:val="00F34BD9"/>
    <w:rsid w:val="00F35B52"/>
    <w:rsid w:val="00F368D1"/>
    <w:rsid w:val="00F404B0"/>
    <w:rsid w:val="00F40EB5"/>
    <w:rsid w:val="00F41372"/>
    <w:rsid w:val="00F42935"/>
    <w:rsid w:val="00F42A8A"/>
    <w:rsid w:val="00F43DB9"/>
    <w:rsid w:val="00F4403A"/>
    <w:rsid w:val="00F45E95"/>
    <w:rsid w:val="00F46D54"/>
    <w:rsid w:val="00F47B14"/>
    <w:rsid w:val="00F50706"/>
    <w:rsid w:val="00F51AB3"/>
    <w:rsid w:val="00F527DE"/>
    <w:rsid w:val="00F53D01"/>
    <w:rsid w:val="00F53D50"/>
    <w:rsid w:val="00F54995"/>
    <w:rsid w:val="00F553ED"/>
    <w:rsid w:val="00F55E7A"/>
    <w:rsid w:val="00F56039"/>
    <w:rsid w:val="00F56D21"/>
    <w:rsid w:val="00F601B1"/>
    <w:rsid w:val="00F60DB0"/>
    <w:rsid w:val="00F61FA0"/>
    <w:rsid w:val="00F6218C"/>
    <w:rsid w:val="00F622B3"/>
    <w:rsid w:val="00F62945"/>
    <w:rsid w:val="00F6489B"/>
    <w:rsid w:val="00F654B5"/>
    <w:rsid w:val="00F654D4"/>
    <w:rsid w:val="00F6587D"/>
    <w:rsid w:val="00F66273"/>
    <w:rsid w:val="00F80948"/>
    <w:rsid w:val="00F81B70"/>
    <w:rsid w:val="00F821CE"/>
    <w:rsid w:val="00F822B6"/>
    <w:rsid w:val="00F853A7"/>
    <w:rsid w:val="00F85991"/>
    <w:rsid w:val="00F85A73"/>
    <w:rsid w:val="00F85E17"/>
    <w:rsid w:val="00F861BC"/>
    <w:rsid w:val="00F87B51"/>
    <w:rsid w:val="00F90A0C"/>
    <w:rsid w:val="00F913F8"/>
    <w:rsid w:val="00F92EE6"/>
    <w:rsid w:val="00F93768"/>
    <w:rsid w:val="00F9385C"/>
    <w:rsid w:val="00F93CC2"/>
    <w:rsid w:val="00F95D5C"/>
    <w:rsid w:val="00FA010E"/>
    <w:rsid w:val="00FA096B"/>
    <w:rsid w:val="00FA147C"/>
    <w:rsid w:val="00FA4BF3"/>
    <w:rsid w:val="00FA5E7A"/>
    <w:rsid w:val="00FA5E7D"/>
    <w:rsid w:val="00FA5FF7"/>
    <w:rsid w:val="00FA7460"/>
    <w:rsid w:val="00FB16AC"/>
    <w:rsid w:val="00FB1B0D"/>
    <w:rsid w:val="00FB25EF"/>
    <w:rsid w:val="00FB561B"/>
    <w:rsid w:val="00FB74EF"/>
    <w:rsid w:val="00FB7E5A"/>
    <w:rsid w:val="00FC07ED"/>
    <w:rsid w:val="00FC1C72"/>
    <w:rsid w:val="00FC20F6"/>
    <w:rsid w:val="00FC218E"/>
    <w:rsid w:val="00FC4D02"/>
    <w:rsid w:val="00FC5F90"/>
    <w:rsid w:val="00FD1316"/>
    <w:rsid w:val="00FD25EF"/>
    <w:rsid w:val="00FD3925"/>
    <w:rsid w:val="00FD474C"/>
    <w:rsid w:val="00FD4882"/>
    <w:rsid w:val="00FD4A1D"/>
    <w:rsid w:val="00FD5E73"/>
    <w:rsid w:val="00FD736E"/>
    <w:rsid w:val="00FE0CB6"/>
    <w:rsid w:val="00FE3126"/>
    <w:rsid w:val="00FE3467"/>
    <w:rsid w:val="00FE3B61"/>
    <w:rsid w:val="00FE49F6"/>
    <w:rsid w:val="00FE54D7"/>
    <w:rsid w:val="00FE6A46"/>
    <w:rsid w:val="00FF12F8"/>
    <w:rsid w:val="00FF1A5A"/>
    <w:rsid w:val="00FF2C41"/>
    <w:rsid w:val="00FF304E"/>
    <w:rsid w:val="00FF4275"/>
    <w:rsid w:val="00FF5604"/>
    <w:rsid w:val="00FF5911"/>
    <w:rsid w:val="01D0505C"/>
    <w:rsid w:val="02316915"/>
    <w:rsid w:val="024C146E"/>
    <w:rsid w:val="026100FE"/>
    <w:rsid w:val="029E4FA8"/>
    <w:rsid w:val="02BA36F5"/>
    <w:rsid w:val="02D83BEE"/>
    <w:rsid w:val="02F04367"/>
    <w:rsid w:val="030A6D26"/>
    <w:rsid w:val="031441F1"/>
    <w:rsid w:val="032265F3"/>
    <w:rsid w:val="0396615A"/>
    <w:rsid w:val="03AC5C74"/>
    <w:rsid w:val="03CA43E0"/>
    <w:rsid w:val="04520458"/>
    <w:rsid w:val="04A179B3"/>
    <w:rsid w:val="04DF4381"/>
    <w:rsid w:val="050630D0"/>
    <w:rsid w:val="051554AC"/>
    <w:rsid w:val="05236350"/>
    <w:rsid w:val="05255FEE"/>
    <w:rsid w:val="057C6D0C"/>
    <w:rsid w:val="059C2748"/>
    <w:rsid w:val="05A03AAD"/>
    <w:rsid w:val="05E7099E"/>
    <w:rsid w:val="05F17EF2"/>
    <w:rsid w:val="05F82B62"/>
    <w:rsid w:val="05FB6170"/>
    <w:rsid w:val="06C07213"/>
    <w:rsid w:val="071A4593"/>
    <w:rsid w:val="071C40EA"/>
    <w:rsid w:val="072C650F"/>
    <w:rsid w:val="07563D71"/>
    <w:rsid w:val="085702BE"/>
    <w:rsid w:val="08711E8C"/>
    <w:rsid w:val="08964CFB"/>
    <w:rsid w:val="08BA0BEB"/>
    <w:rsid w:val="08EE0908"/>
    <w:rsid w:val="091B45C1"/>
    <w:rsid w:val="093D2F92"/>
    <w:rsid w:val="0A093FDE"/>
    <w:rsid w:val="0A3469FA"/>
    <w:rsid w:val="0A5F46AB"/>
    <w:rsid w:val="0A6B45FC"/>
    <w:rsid w:val="0B2D5F59"/>
    <w:rsid w:val="0B5C1275"/>
    <w:rsid w:val="0B804A01"/>
    <w:rsid w:val="0BAF70CA"/>
    <w:rsid w:val="0BB538AF"/>
    <w:rsid w:val="0BBF11AB"/>
    <w:rsid w:val="0BDC7CCC"/>
    <w:rsid w:val="0BEA009C"/>
    <w:rsid w:val="0BF774D7"/>
    <w:rsid w:val="0C7C408E"/>
    <w:rsid w:val="0C9351F0"/>
    <w:rsid w:val="0F951986"/>
    <w:rsid w:val="0FFD4A1D"/>
    <w:rsid w:val="11CC0CA2"/>
    <w:rsid w:val="11D2412C"/>
    <w:rsid w:val="12CF56B4"/>
    <w:rsid w:val="13E36298"/>
    <w:rsid w:val="13F763A1"/>
    <w:rsid w:val="14B250CF"/>
    <w:rsid w:val="15BF6D9A"/>
    <w:rsid w:val="15F93341"/>
    <w:rsid w:val="16001A12"/>
    <w:rsid w:val="16034998"/>
    <w:rsid w:val="16DD2D52"/>
    <w:rsid w:val="16EB2405"/>
    <w:rsid w:val="17505FEE"/>
    <w:rsid w:val="17D85A9D"/>
    <w:rsid w:val="18190112"/>
    <w:rsid w:val="18244114"/>
    <w:rsid w:val="182D4417"/>
    <w:rsid w:val="184C06FC"/>
    <w:rsid w:val="192C3116"/>
    <w:rsid w:val="193265A1"/>
    <w:rsid w:val="1993212D"/>
    <w:rsid w:val="1A1C1015"/>
    <w:rsid w:val="1AD75285"/>
    <w:rsid w:val="1AD92EB4"/>
    <w:rsid w:val="1B19449B"/>
    <w:rsid w:val="1B3A6742"/>
    <w:rsid w:val="1B3C60A4"/>
    <w:rsid w:val="1B776DF2"/>
    <w:rsid w:val="1BB127B4"/>
    <w:rsid w:val="1C877E51"/>
    <w:rsid w:val="1CCE5573"/>
    <w:rsid w:val="1CFB4958"/>
    <w:rsid w:val="1D003345"/>
    <w:rsid w:val="1E387147"/>
    <w:rsid w:val="1E991D34"/>
    <w:rsid w:val="1F5C6BA4"/>
    <w:rsid w:val="1F6D1E1C"/>
    <w:rsid w:val="21BE3DE3"/>
    <w:rsid w:val="22451243"/>
    <w:rsid w:val="23594343"/>
    <w:rsid w:val="24B21AA6"/>
    <w:rsid w:val="25887761"/>
    <w:rsid w:val="26014313"/>
    <w:rsid w:val="26020A78"/>
    <w:rsid w:val="261B72B1"/>
    <w:rsid w:val="261F3098"/>
    <w:rsid w:val="268B65B8"/>
    <w:rsid w:val="26D443FF"/>
    <w:rsid w:val="27FE29E4"/>
    <w:rsid w:val="281F78E3"/>
    <w:rsid w:val="28AC264E"/>
    <w:rsid w:val="29515845"/>
    <w:rsid w:val="2A087B33"/>
    <w:rsid w:val="2A8F0C4E"/>
    <w:rsid w:val="2AD225D7"/>
    <w:rsid w:val="2C2D7415"/>
    <w:rsid w:val="2C467E31"/>
    <w:rsid w:val="2C7612D6"/>
    <w:rsid w:val="2E064D03"/>
    <w:rsid w:val="2EBE4176"/>
    <w:rsid w:val="2F37320B"/>
    <w:rsid w:val="2FB90BCA"/>
    <w:rsid w:val="30B734F9"/>
    <w:rsid w:val="31346DD0"/>
    <w:rsid w:val="323847DA"/>
    <w:rsid w:val="333252CA"/>
    <w:rsid w:val="34376E27"/>
    <w:rsid w:val="346E56BB"/>
    <w:rsid w:val="34756D37"/>
    <w:rsid w:val="35EA240B"/>
    <w:rsid w:val="36743E79"/>
    <w:rsid w:val="36783353"/>
    <w:rsid w:val="37F61E6B"/>
    <w:rsid w:val="38413DD7"/>
    <w:rsid w:val="38B34279"/>
    <w:rsid w:val="38E600EC"/>
    <w:rsid w:val="39074164"/>
    <w:rsid w:val="391255CF"/>
    <w:rsid w:val="39137979"/>
    <w:rsid w:val="39636410"/>
    <w:rsid w:val="398D1BDA"/>
    <w:rsid w:val="39B30964"/>
    <w:rsid w:val="3A36570C"/>
    <w:rsid w:val="3A4107A5"/>
    <w:rsid w:val="3B35255A"/>
    <w:rsid w:val="3BD24264"/>
    <w:rsid w:val="3C3D1A8B"/>
    <w:rsid w:val="3C511EAD"/>
    <w:rsid w:val="3C677462"/>
    <w:rsid w:val="3D9023AF"/>
    <w:rsid w:val="3EE971E7"/>
    <w:rsid w:val="3F7A4ACD"/>
    <w:rsid w:val="3FBD017F"/>
    <w:rsid w:val="3FCE3D63"/>
    <w:rsid w:val="3FEF3843"/>
    <w:rsid w:val="40CF737F"/>
    <w:rsid w:val="411D6D71"/>
    <w:rsid w:val="41292AF9"/>
    <w:rsid w:val="41400618"/>
    <w:rsid w:val="4189590E"/>
    <w:rsid w:val="421B3740"/>
    <w:rsid w:val="42B910EA"/>
    <w:rsid w:val="42C77BCC"/>
    <w:rsid w:val="42EF3161"/>
    <w:rsid w:val="44E431E5"/>
    <w:rsid w:val="44E95A32"/>
    <w:rsid w:val="456E271F"/>
    <w:rsid w:val="45801D9C"/>
    <w:rsid w:val="46261FCA"/>
    <w:rsid w:val="46B26921"/>
    <w:rsid w:val="46C16C66"/>
    <w:rsid w:val="46F56910"/>
    <w:rsid w:val="47433D0D"/>
    <w:rsid w:val="48324F29"/>
    <w:rsid w:val="484C46DC"/>
    <w:rsid w:val="485C4C17"/>
    <w:rsid w:val="4AD77580"/>
    <w:rsid w:val="4AEB42B2"/>
    <w:rsid w:val="4B102778"/>
    <w:rsid w:val="4C07612F"/>
    <w:rsid w:val="4C242852"/>
    <w:rsid w:val="4CFA45DC"/>
    <w:rsid w:val="4D1E3E2D"/>
    <w:rsid w:val="4D4A6D3C"/>
    <w:rsid w:val="4E451ED5"/>
    <w:rsid w:val="4E551F4E"/>
    <w:rsid w:val="4E7F49B9"/>
    <w:rsid w:val="4F907179"/>
    <w:rsid w:val="4F9D512C"/>
    <w:rsid w:val="502C0310"/>
    <w:rsid w:val="50FD0A2A"/>
    <w:rsid w:val="5149722F"/>
    <w:rsid w:val="51501312"/>
    <w:rsid w:val="51584C6B"/>
    <w:rsid w:val="51713CFE"/>
    <w:rsid w:val="522D3402"/>
    <w:rsid w:val="5260198D"/>
    <w:rsid w:val="529B04A1"/>
    <w:rsid w:val="52FD17CE"/>
    <w:rsid w:val="530650CB"/>
    <w:rsid w:val="530B792E"/>
    <w:rsid w:val="53640941"/>
    <w:rsid w:val="539F1E06"/>
    <w:rsid w:val="544F3B03"/>
    <w:rsid w:val="54A429C6"/>
    <w:rsid w:val="54C47225"/>
    <w:rsid w:val="54DB331B"/>
    <w:rsid w:val="555C0519"/>
    <w:rsid w:val="55A31D1B"/>
    <w:rsid w:val="572A3D6B"/>
    <w:rsid w:val="574C512A"/>
    <w:rsid w:val="576241E5"/>
    <w:rsid w:val="59A7757A"/>
    <w:rsid w:val="59C90C1B"/>
    <w:rsid w:val="59F468D8"/>
    <w:rsid w:val="5A9C673F"/>
    <w:rsid w:val="5B015611"/>
    <w:rsid w:val="5CDF79EE"/>
    <w:rsid w:val="5D996133"/>
    <w:rsid w:val="5E26004E"/>
    <w:rsid w:val="5E29386E"/>
    <w:rsid w:val="5E7F0472"/>
    <w:rsid w:val="5EB76216"/>
    <w:rsid w:val="5F467171"/>
    <w:rsid w:val="5F763F6D"/>
    <w:rsid w:val="5FEC43EA"/>
    <w:rsid w:val="5FEF0CF6"/>
    <w:rsid w:val="613F2FFD"/>
    <w:rsid w:val="620309C8"/>
    <w:rsid w:val="62495304"/>
    <w:rsid w:val="625754A8"/>
    <w:rsid w:val="62F85166"/>
    <w:rsid w:val="63931811"/>
    <w:rsid w:val="63A31C55"/>
    <w:rsid w:val="63F607F9"/>
    <w:rsid w:val="642034D4"/>
    <w:rsid w:val="64A85FEE"/>
    <w:rsid w:val="64D26515"/>
    <w:rsid w:val="657721D9"/>
    <w:rsid w:val="65B13D8E"/>
    <w:rsid w:val="65EB3F2A"/>
    <w:rsid w:val="65F96403"/>
    <w:rsid w:val="66007763"/>
    <w:rsid w:val="660C1E86"/>
    <w:rsid w:val="664C6072"/>
    <w:rsid w:val="67154A06"/>
    <w:rsid w:val="6772457D"/>
    <w:rsid w:val="67DF5A19"/>
    <w:rsid w:val="68B0680C"/>
    <w:rsid w:val="68F95697"/>
    <w:rsid w:val="698C225E"/>
    <w:rsid w:val="69A45B3C"/>
    <w:rsid w:val="69AD170E"/>
    <w:rsid w:val="6B127AEE"/>
    <w:rsid w:val="6B6D1E08"/>
    <w:rsid w:val="6BB41347"/>
    <w:rsid w:val="6C5A79D4"/>
    <w:rsid w:val="6CE35A34"/>
    <w:rsid w:val="6EA47571"/>
    <w:rsid w:val="6EAF2AF0"/>
    <w:rsid w:val="6F9E1043"/>
    <w:rsid w:val="701E5FC5"/>
    <w:rsid w:val="7041524B"/>
    <w:rsid w:val="706B5C01"/>
    <w:rsid w:val="707029DF"/>
    <w:rsid w:val="71331210"/>
    <w:rsid w:val="71855524"/>
    <w:rsid w:val="71864F94"/>
    <w:rsid w:val="71E5095E"/>
    <w:rsid w:val="721B3502"/>
    <w:rsid w:val="72473C14"/>
    <w:rsid w:val="72F11CB1"/>
    <w:rsid w:val="738B44AB"/>
    <w:rsid w:val="73C71534"/>
    <w:rsid w:val="748D424E"/>
    <w:rsid w:val="74B2423D"/>
    <w:rsid w:val="74E039FC"/>
    <w:rsid w:val="754451B2"/>
    <w:rsid w:val="7625356A"/>
    <w:rsid w:val="78900312"/>
    <w:rsid w:val="796E3359"/>
    <w:rsid w:val="79DC308D"/>
    <w:rsid w:val="79E653CA"/>
    <w:rsid w:val="7A03028C"/>
    <w:rsid w:val="7A585816"/>
    <w:rsid w:val="7AEC29FA"/>
    <w:rsid w:val="7BA2010D"/>
    <w:rsid w:val="7BB82DFE"/>
    <w:rsid w:val="7BD21D4F"/>
    <w:rsid w:val="7C4F6446"/>
    <w:rsid w:val="7C593CC8"/>
    <w:rsid w:val="7CDE132C"/>
    <w:rsid w:val="7D8341B3"/>
    <w:rsid w:val="7D950CC7"/>
    <w:rsid w:val="7E002EC9"/>
    <w:rsid w:val="7E4650C7"/>
    <w:rsid w:val="7ECA0043"/>
    <w:rsid w:val="7ED205CE"/>
    <w:rsid w:val="7F0F5984"/>
    <w:rsid w:val="7F1B14FE"/>
    <w:rsid w:val="7F864E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0"/>
    <w:qFormat/>
    <w:uiPriority w:val="9"/>
    <w:pPr>
      <w:keepNext/>
      <w:keepLines/>
      <w:numPr>
        <w:ilvl w:val="0"/>
        <w:numId w:val="1"/>
      </w:numPr>
      <w:adjustRightInd w:val="0"/>
      <w:snapToGrid w:val="0"/>
      <w:spacing w:line="360" w:lineRule="auto"/>
      <w:outlineLvl w:val="0"/>
    </w:pPr>
    <w:rPr>
      <w:b/>
      <w:snapToGrid w:val="0"/>
      <w:kern w:val="44"/>
      <w:sz w:val="28"/>
    </w:rPr>
  </w:style>
  <w:style w:type="paragraph" w:styleId="3">
    <w:name w:val="heading 2"/>
    <w:basedOn w:val="1"/>
    <w:next w:val="1"/>
    <w:qFormat/>
    <w:uiPriority w:val="0"/>
    <w:pPr>
      <w:keepNext/>
      <w:keepLines/>
      <w:numPr>
        <w:ilvl w:val="1"/>
        <w:numId w:val="1"/>
      </w:numPr>
      <w:adjustRightInd w:val="0"/>
      <w:snapToGrid w:val="0"/>
      <w:spacing w:line="360" w:lineRule="auto"/>
      <w:outlineLvl w:val="1"/>
    </w:pPr>
    <w:rPr>
      <w:b/>
      <w:snapToGrid w:val="0"/>
      <w:color w:val="993300"/>
      <w:kern w:val="24"/>
      <w:sz w:val="24"/>
    </w:rPr>
  </w:style>
  <w:style w:type="paragraph" w:styleId="4">
    <w:name w:val="heading 3"/>
    <w:next w:val="1"/>
    <w:qFormat/>
    <w:uiPriority w:val="0"/>
    <w:pPr>
      <w:keepNext/>
      <w:keepLines/>
      <w:numPr>
        <w:ilvl w:val="2"/>
        <w:numId w:val="1"/>
      </w:numPr>
      <w:adjustRightInd w:val="0"/>
      <w:snapToGrid w:val="0"/>
      <w:spacing w:line="360" w:lineRule="auto"/>
      <w:outlineLvl w:val="2"/>
    </w:pPr>
    <w:rPr>
      <w:rFonts w:ascii="Times New Roman" w:hAnsi="Times New Roman" w:eastAsia="宋体" w:cs="Times New Roman"/>
      <w:b/>
      <w:snapToGrid w:val="0"/>
      <w:color w:val="0000FF"/>
      <w:kern w:val="24"/>
      <w:sz w:val="24"/>
      <w:lang w:val="en-US" w:eastAsia="zh-CN" w:bidi="ar-SA"/>
    </w:rPr>
  </w:style>
  <w:style w:type="paragraph" w:styleId="5">
    <w:name w:val="heading 4"/>
    <w:next w:val="1"/>
    <w:qFormat/>
    <w:uiPriority w:val="0"/>
    <w:pPr>
      <w:keepNext/>
      <w:keepLines/>
      <w:numPr>
        <w:ilvl w:val="3"/>
        <w:numId w:val="1"/>
      </w:numPr>
      <w:adjustRightInd w:val="0"/>
      <w:snapToGrid w:val="0"/>
      <w:spacing w:line="360" w:lineRule="auto"/>
      <w:outlineLvl w:val="3"/>
    </w:pPr>
    <w:rPr>
      <w:rFonts w:ascii="Arial" w:hAnsi="Arial" w:eastAsia="宋体" w:cs="Times New Roman"/>
      <w:b/>
      <w:snapToGrid w:val="0"/>
      <w:color w:val="008080"/>
      <w:kern w:val="24"/>
      <w:sz w:val="24"/>
      <w:lang w:val="en-US" w:eastAsia="zh-CN" w:bidi="ar-SA"/>
    </w:rPr>
  </w:style>
  <w:style w:type="paragraph" w:styleId="6">
    <w:name w:val="heading 5"/>
    <w:basedOn w:val="1"/>
    <w:next w:val="1"/>
    <w:qFormat/>
    <w:uiPriority w:val="0"/>
    <w:pPr>
      <w:keepNext/>
      <w:keepLines/>
      <w:numPr>
        <w:ilvl w:val="4"/>
        <w:numId w:val="1"/>
      </w:numPr>
      <w:adjustRightInd w:val="0"/>
      <w:snapToGrid w:val="0"/>
      <w:spacing w:before="60" w:after="60" w:line="360" w:lineRule="auto"/>
      <w:outlineLvl w:val="4"/>
    </w:pPr>
    <w:rPr>
      <w:b/>
      <w:bCs/>
      <w:snapToGrid w:val="0"/>
      <w:color w:val="800000"/>
      <w:kern w:val="24"/>
      <w:sz w:val="24"/>
      <w:szCs w:val="20"/>
    </w:rPr>
  </w:style>
  <w:style w:type="paragraph" w:styleId="7">
    <w:name w:val="heading 6"/>
    <w:next w:val="1"/>
    <w:qFormat/>
    <w:uiPriority w:val="0"/>
    <w:pPr>
      <w:keepNext/>
      <w:keepLines/>
      <w:numPr>
        <w:ilvl w:val="5"/>
        <w:numId w:val="1"/>
      </w:numPr>
      <w:adjustRightInd w:val="0"/>
      <w:snapToGrid w:val="0"/>
      <w:spacing w:line="360" w:lineRule="auto"/>
      <w:outlineLvl w:val="5"/>
    </w:pPr>
    <w:rPr>
      <w:rFonts w:ascii="Arial" w:hAnsi="Arial" w:eastAsia="宋体" w:cs="Times New Roman"/>
      <w:b/>
      <w:snapToGrid w:val="0"/>
      <w:color w:val="008080"/>
      <w:kern w:val="24"/>
      <w:sz w:val="24"/>
      <w:lang w:val="en-US" w:eastAsia="zh-CN" w:bidi="ar-SA"/>
    </w:rPr>
  </w:style>
  <w:style w:type="paragraph" w:styleId="8">
    <w:name w:val="heading 7"/>
    <w:basedOn w:val="1"/>
    <w:next w:val="1"/>
    <w:qFormat/>
    <w:uiPriority w:val="0"/>
    <w:pPr>
      <w:keepNext/>
      <w:keepLines/>
      <w:numPr>
        <w:ilvl w:val="6"/>
        <w:numId w:val="1"/>
      </w:numPr>
      <w:adjustRightInd w:val="0"/>
      <w:snapToGrid w:val="0"/>
      <w:spacing w:before="60" w:after="60" w:line="360" w:lineRule="auto"/>
      <w:outlineLvl w:val="6"/>
    </w:pPr>
    <w:rPr>
      <w:b/>
      <w:bCs/>
      <w:szCs w:val="20"/>
    </w:rPr>
  </w:style>
  <w:style w:type="paragraph" w:styleId="9">
    <w:name w:val="heading 8"/>
    <w:basedOn w:val="1"/>
    <w:next w:val="1"/>
    <w:qFormat/>
    <w:uiPriority w:val="0"/>
    <w:pPr>
      <w:keepNext/>
      <w:keepLines/>
      <w:numPr>
        <w:ilvl w:val="7"/>
        <w:numId w:val="1"/>
      </w:numPr>
      <w:adjustRightInd w:val="0"/>
      <w:snapToGrid w:val="0"/>
      <w:spacing w:before="60" w:after="60" w:line="360" w:lineRule="auto"/>
      <w:outlineLvl w:val="7"/>
    </w:pPr>
    <w:rPr>
      <w:rFonts w:ascii="Arial" w:hAnsi="Arial"/>
      <w:b/>
      <w:bCs/>
      <w:szCs w:val="20"/>
    </w:rPr>
  </w:style>
  <w:style w:type="paragraph" w:styleId="10">
    <w:name w:val="heading 9"/>
    <w:basedOn w:val="1"/>
    <w:next w:val="1"/>
    <w:qFormat/>
    <w:uiPriority w:val="0"/>
    <w:pPr>
      <w:keepNext/>
      <w:keepLines/>
      <w:numPr>
        <w:ilvl w:val="8"/>
        <w:numId w:val="1"/>
      </w:numPr>
      <w:adjustRightInd w:val="0"/>
      <w:snapToGrid w:val="0"/>
      <w:spacing w:before="60" w:after="60" w:line="360" w:lineRule="auto"/>
      <w:outlineLvl w:val="8"/>
    </w:pPr>
    <w:rPr>
      <w:rFonts w:ascii="Arial" w:hAnsi="Arial"/>
      <w:b/>
      <w:bCs/>
      <w:szCs w:val="20"/>
    </w:rPr>
  </w:style>
  <w:style w:type="character" w:default="1" w:styleId="35">
    <w:name w:val="Default Paragraph Font"/>
    <w:semiHidden/>
    <w:qFormat/>
    <w:uiPriority w:val="0"/>
  </w:style>
  <w:style w:type="table" w:default="1" w:styleId="33">
    <w:name w:val="Normal Table"/>
    <w:semiHidden/>
    <w:uiPriority w:val="0"/>
    <w:rPr>
      <w:rFonts w:hint="eastAsia"/>
    </w:rPr>
    <w:tblPr>
      <w:tblCellMar>
        <w:top w:w="0" w:type="dxa"/>
        <w:left w:w="108" w:type="dxa"/>
        <w:bottom w:w="0" w:type="dxa"/>
        <w:right w:w="108" w:type="dxa"/>
      </w:tblCellMar>
    </w:tblPr>
  </w:style>
  <w:style w:type="paragraph" w:styleId="11">
    <w:name w:val="List Number"/>
    <w:basedOn w:val="1"/>
    <w:uiPriority w:val="0"/>
    <w:pPr>
      <w:numPr>
        <w:ilvl w:val="0"/>
        <w:numId w:val="2"/>
      </w:numPr>
      <w:contextualSpacing/>
    </w:pPr>
  </w:style>
  <w:style w:type="paragraph" w:styleId="12">
    <w:name w:val="Document Map"/>
    <w:basedOn w:val="1"/>
    <w:semiHidden/>
    <w:uiPriority w:val="0"/>
    <w:pPr>
      <w:shd w:val="clear" w:color="auto" w:fill="000080"/>
    </w:pPr>
  </w:style>
  <w:style w:type="paragraph" w:styleId="13">
    <w:name w:val="annotation text"/>
    <w:basedOn w:val="1"/>
    <w:semiHidden/>
    <w:qFormat/>
    <w:uiPriority w:val="0"/>
    <w:pPr>
      <w:jc w:val="left"/>
    </w:pPr>
  </w:style>
  <w:style w:type="paragraph" w:styleId="14">
    <w:name w:val="Body Text"/>
    <w:basedOn w:val="1"/>
    <w:link w:val="41"/>
    <w:qFormat/>
    <w:uiPriority w:val="0"/>
    <w:pPr>
      <w:spacing w:after="120"/>
    </w:pPr>
  </w:style>
  <w:style w:type="paragraph" w:styleId="15">
    <w:name w:val="Body Text Indent"/>
    <w:basedOn w:val="1"/>
    <w:link w:val="42"/>
    <w:qFormat/>
    <w:uiPriority w:val="0"/>
    <w:pPr>
      <w:spacing w:after="120"/>
      <w:ind w:left="420" w:leftChars="200"/>
    </w:pPr>
  </w:style>
  <w:style w:type="paragraph" w:styleId="16">
    <w:name w:val="toc 3"/>
    <w:basedOn w:val="1"/>
    <w:next w:val="1"/>
    <w:unhideWhenUsed/>
    <w:qFormat/>
    <w:uiPriority w:val="39"/>
    <w:pPr>
      <w:widowControl/>
      <w:spacing w:after="100" w:line="276" w:lineRule="auto"/>
      <w:ind w:left="440"/>
      <w:jc w:val="left"/>
    </w:pPr>
    <w:rPr>
      <w:rFonts w:ascii="Calibri" w:hAnsi="Calibri"/>
      <w:kern w:val="0"/>
      <w:sz w:val="22"/>
      <w:szCs w:val="22"/>
    </w:rPr>
  </w:style>
  <w:style w:type="paragraph" w:styleId="17">
    <w:name w:val="Plain Text"/>
    <w:basedOn w:val="1"/>
    <w:uiPriority w:val="0"/>
    <w:pPr>
      <w:autoSpaceDE w:val="0"/>
      <w:autoSpaceDN w:val="0"/>
      <w:adjustRightInd w:val="0"/>
    </w:pPr>
    <w:rPr>
      <w:rFonts w:ascii="宋体"/>
      <w:kern w:val="0"/>
    </w:rPr>
  </w:style>
  <w:style w:type="paragraph" w:styleId="18">
    <w:name w:val="Date"/>
    <w:basedOn w:val="1"/>
    <w:next w:val="1"/>
    <w:uiPriority w:val="0"/>
    <w:pPr>
      <w:ind w:leftChars="2500"/>
    </w:pPr>
    <w:rPr>
      <w:rFonts w:eastAsia="楷体_GB2312"/>
      <w:sz w:val="32"/>
      <w:szCs w:val="20"/>
    </w:rPr>
  </w:style>
  <w:style w:type="paragraph" w:styleId="19">
    <w:name w:val="Body Text Indent 2"/>
    <w:basedOn w:val="1"/>
    <w:uiPriority w:val="0"/>
    <w:pPr>
      <w:widowControl/>
      <w:spacing w:line="480" w:lineRule="auto"/>
      <w:ind w:firstLine="720"/>
      <w:jc w:val="left"/>
    </w:pPr>
    <w:rPr>
      <w:kern w:val="0"/>
      <w:sz w:val="24"/>
    </w:rPr>
  </w:style>
  <w:style w:type="paragraph" w:styleId="20">
    <w:name w:val="Balloon Text"/>
    <w:basedOn w:val="1"/>
    <w:semiHidden/>
    <w:uiPriority w:val="0"/>
    <w:rPr>
      <w:sz w:val="18"/>
      <w:szCs w:val="18"/>
    </w:rPr>
  </w:style>
  <w:style w:type="paragraph" w:styleId="21">
    <w:name w:val="footer"/>
    <w:basedOn w:val="1"/>
    <w:link w:val="43"/>
    <w:qFormat/>
    <w:uiPriority w:val="99"/>
    <w:pPr>
      <w:tabs>
        <w:tab w:val="center" w:pos="4153"/>
        <w:tab w:val="right" w:pos="8306"/>
      </w:tabs>
      <w:snapToGrid w:val="0"/>
      <w:jc w:val="left"/>
    </w:pPr>
    <w:rPr>
      <w:sz w:val="18"/>
      <w:szCs w:val="18"/>
    </w:rPr>
  </w:style>
  <w:style w:type="paragraph" w:styleId="22">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23">
    <w:name w:val="toc 1"/>
    <w:basedOn w:val="1"/>
    <w:qFormat/>
    <w:uiPriority w:val="39"/>
    <w:pPr>
      <w:widowControl/>
      <w:spacing w:before="240" w:after="60" w:line="240" w:lineRule="atLeast"/>
      <w:ind w:right="720"/>
      <w:jc w:val="left"/>
    </w:pPr>
    <w:rPr>
      <w:kern w:val="0"/>
      <w:sz w:val="20"/>
      <w:szCs w:val="20"/>
    </w:rPr>
  </w:style>
  <w:style w:type="paragraph" w:styleId="24">
    <w:name w:val="Subtitle"/>
    <w:basedOn w:val="1"/>
    <w:next w:val="1"/>
    <w:qFormat/>
    <w:uiPriority w:val="0"/>
    <w:pPr>
      <w:spacing w:before="240" w:after="60" w:line="312" w:lineRule="auto"/>
      <w:jc w:val="center"/>
      <w:outlineLvl w:val="1"/>
    </w:pPr>
    <w:rPr>
      <w:b/>
      <w:bCs/>
      <w:kern w:val="28"/>
      <w:sz w:val="32"/>
      <w:szCs w:val="32"/>
    </w:rPr>
  </w:style>
  <w:style w:type="paragraph" w:styleId="25">
    <w:name w:val="List"/>
    <w:basedOn w:val="1"/>
    <w:uiPriority w:val="0"/>
    <w:pPr>
      <w:ind w:left="200" w:hanging="200" w:hangingChars="200"/>
    </w:pPr>
    <w:rPr>
      <w:szCs w:val="20"/>
    </w:rPr>
  </w:style>
  <w:style w:type="paragraph" w:styleId="26">
    <w:name w:val="Body Text Indent 3"/>
    <w:basedOn w:val="1"/>
    <w:uiPriority w:val="0"/>
    <w:pPr>
      <w:widowControl/>
      <w:spacing w:before="120" w:after="120" w:line="360" w:lineRule="auto"/>
      <w:ind w:firstLine="480"/>
      <w:jc w:val="left"/>
    </w:pPr>
    <w:rPr>
      <w:rFonts w:ascii="仿宋_GB2312" w:eastAsia="仿宋_GB2312"/>
      <w:kern w:val="0"/>
      <w:sz w:val="24"/>
    </w:rPr>
  </w:style>
  <w:style w:type="paragraph" w:styleId="27">
    <w:name w:val="table of figures"/>
    <w:basedOn w:val="1"/>
    <w:next w:val="1"/>
    <w:uiPriority w:val="0"/>
    <w:pPr>
      <w:ind w:leftChars="200" w:hanging="200" w:hangingChars="200"/>
    </w:pPr>
  </w:style>
  <w:style w:type="paragraph" w:styleId="28">
    <w:name w:val="toc 2"/>
    <w:basedOn w:val="1"/>
    <w:qFormat/>
    <w:uiPriority w:val="39"/>
    <w:pPr>
      <w:widowControl/>
      <w:spacing w:line="240" w:lineRule="atLeast"/>
      <w:ind w:left="432" w:right="720"/>
      <w:jc w:val="left"/>
    </w:pPr>
    <w:rPr>
      <w:kern w:val="0"/>
      <w:sz w:val="20"/>
      <w:szCs w:val="20"/>
    </w:rPr>
  </w:style>
  <w:style w:type="paragraph" w:styleId="29">
    <w:name w:val="Normal (Web)"/>
    <w:basedOn w:val="1"/>
    <w:qFormat/>
    <w:uiPriority w:val="0"/>
    <w:pPr>
      <w:spacing w:before="100" w:beforeAutospacing="1" w:after="100" w:afterAutospacing="1"/>
      <w:jc w:val="left"/>
    </w:pPr>
    <w:rPr>
      <w:kern w:val="0"/>
      <w:sz w:val="24"/>
    </w:rPr>
  </w:style>
  <w:style w:type="paragraph" w:styleId="30">
    <w:name w:val="Title"/>
    <w:basedOn w:val="1"/>
    <w:next w:val="1"/>
    <w:link w:val="44"/>
    <w:qFormat/>
    <w:uiPriority w:val="0"/>
    <w:pPr>
      <w:spacing w:before="240" w:after="60"/>
      <w:jc w:val="center"/>
      <w:outlineLvl w:val="0"/>
    </w:pPr>
    <w:rPr>
      <w:rFonts w:ascii="Cambria" w:hAnsi="Cambria"/>
      <w:b/>
      <w:bCs/>
      <w:sz w:val="32"/>
      <w:szCs w:val="32"/>
    </w:rPr>
  </w:style>
  <w:style w:type="paragraph" w:styleId="31">
    <w:name w:val="annotation subject"/>
    <w:basedOn w:val="13"/>
    <w:next w:val="13"/>
    <w:semiHidden/>
    <w:uiPriority w:val="0"/>
    <w:rPr>
      <w:b/>
      <w:bCs/>
    </w:rPr>
  </w:style>
  <w:style w:type="paragraph" w:styleId="32">
    <w:name w:val="Body Text First Indent 2"/>
    <w:basedOn w:val="15"/>
    <w:link w:val="45"/>
    <w:qFormat/>
    <w:uiPriority w:val="0"/>
    <w:pPr>
      <w:ind w:firstLine="420" w:firstLineChars="200"/>
    </w:pPr>
  </w:style>
  <w:style w:type="table" w:styleId="34">
    <w:name w:val="Table Grid"/>
    <w:basedOn w:val="3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qFormat/>
    <w:uiPriority w:val="0"/>
    <w:rPr>
      <w:b/>
      <w:bCs/>
    </w:rPr>
  </w:style>
  <w:style w:type="character" w:styleId="37">
    <w:name w:val="page number"/>
    <w:uiPriority w:val="0"/>
  </w:style>
  <w:style w:type="character" w:styleId="38">
    <w:name w:val="Hyperlink"/>
    <w:uiPriority w:val="99"/>
    <w:rPr>
      <w:color w:val="0000FF"/>
      <w:u w:val="single"/>
    </w:rPr>
  </w:style>
  <w:style w:type="character" w:styleId="39">
    <w:name w:val="annotation reference"/>
    <w:semiHidden/>
    <w:uiPriority w:val="0"/>
    <w:rPr>
      <w:sz w:val="21"/>
      <w:szCs w:val="21"/>
    </w:rPr>
  </w:style>
  <w:style w:type="character" w:customStyle="1" w:styleId="40">
    <w:name w:val="标题 1 字符"/>
    <w:link w:val="2"/>
    <w:uiPriority w:val="9"/>
    <w:rPr>
      <w:b/>
      <w:snapToGrid/>
      <w:kern w:val="44"/>
      <w:sz w:val="28"/>
    </w:rPr>
  </w:style>
  <w:style w:type="character" w:customStyle="1" w:styleId="41">
    <w:name w:val="正文文本 字符"/>
    <w:link w:val="14"/>
    <w:uiPriority w:val="0"/>
    <w:rPr>
      <w:kern w:val="2"/>
      <w:sz w:val="21"/>
      <w:szCs w:val="24"/>
    </w:rPr>
  </w:style>
  <w:style w:type="character" w:customStyle="1" w:styleId="42">
    <w:name w:val="正文文本缩进 字符"/>
    <w:link w:val="15"/>
    <w:uiPriority w:val="0"/>
    <w:rPr>
      <w:kern w:val="2"/>
      <w:sz w:val="21"/>
      <w:szCs w:val="24"/>
    </w:rPr>
  </w:style>
  <w:style w:type="character" w:customStyle="1" w:styleId="43">
    <w:name w:val="页脚 字符"/>
    <w:link w:val="21"/>
    <w:uiPriority w:val="99"/>
    <w:rPr>
      <w:kern w:val="2"/>
      <w:sz w:val="18"/>
      <w:szCs w:val="18"/>
    </w:rPr>
  </w:style>
  <w:style w:type="character" w:customStyle="1" w:styleId="44">
    <w:name w:val="标题 字符"/>
    <w:link w:val="30"/>
    <w:uiPriority w:val="0"/>
    <w:rPr>
      <w:rFonts w:ascii="Cambria" w:hAnsi="Cambria" w:cs="Times New Roman"/>
      <w:b/>
      <w:bCs/>
      <w:kern w:val="2"/>
      <w:sz w:val="32"/>
      <w:szCs w:val="32"/>
    </w:rPr>
  </w:style>
  <w:style w:type="character" w:customStyle="1" w:styleId="45">
    <w:name w:val="正文首行缩进 2 字符"/>
    <w:link w:val="32"/>
    <w:uiPriority w:val="0"/>
  </w:style>
  <w:style w:type="character" w:customStyle="1" w:styleId="46">
    <w:name w:val="font131"/>
    <w:qFormat/>
    <w:uiPriority w:val="0"/>
    <w:rPr>
      <w:rFonts w:hint="eastAsia" w:ascii="微软雅黑" w:hAnsi="微软雅黑" w:eastAsia="微软雅黑" w:cs="微软雅黑"/>
      <w:b/>
      <w:color w:val="000000"/>
      <w:sz w:val="24"/>
      <w:szCs w:val="24"/>
      <w:u w:val="none"/>
    </w:rPr>
  </w:style>
  <w:style w:type="character" w:customStyle="1" w:styleId="47">
    <w:name w:val="font11"/>
    <w:qFormat/>
    <w:uiPriority w:val="0"/>
    <w:rPr>
      <w:rFonts w:hint="eastAsia" w:ascii="黑体" w:hAnsi="宋体" w:eastAsia="黑体" w:cs="黑体"/>
      <w:b/>
      <w:color w:val="FF0000"/>
      <w:sz w:val="44"/>
      <w:szCs w:val="44"/>
      <w:u w:val="none"/>
    </w:rPr>
  </w:style>
  <w:style w:type="character" w:customStyle="1" w:styleId="48">
    <w:name w:val="font61"/>
    <w:qFormat/>
    <w:uiPriority w:val="0"/>
    <w:rPr>
      <w:rFonts w:hint="eastAsia" w:ascii="微软雅黑" w:hAnsi="微软雅黑" w:eastAsia="微软雅黑" w:cs="微软雅黑"/>
      <w:color w:val="000000"/>
      <w:sz w:val="24"/>
      <w:szCs w:val="24"/>
      <w:u w:val="none"/>
    </w:rPr>
  </w:style>
  <w:style w:type="character" w:customStyle="1" w:styleId="49">
    <w:name w:val="无间隔 字符"/>
    <w:link w:val="50"/>
    <w:qFormat/>
    <w:uiPriority w:val="1"/>
    <w:rPr>
      <w:rFonts w:ascii="Calibri" w:hAnsi="Calibri"/>
      <w:sz w:val="22"/>
      <w:szCs w:val="22"/>
    </w:rPr>
  </w:style>
  <w:style w:type="paragraph" w:styleId="50">
    <w:name w:val="No Spacing"/>
    <w:link w:val="49"/>
    <w:qFormat/>
    <w:uiPriority w:val="0"/>
    <w:rPr>
      <w:rFonts w:ascii="Calibri" w:hAnsi="Calibri" w:eastAsia="宋体" w:cs="Times New Roman"/>
      <w:sz w:val="22"/>
      <w:szCs w:val="22"/>
      <w:lang w:val="en-US" w:eastAsia="zh-CN" w:bidi="ar-SA"/>
    </w:rPr>
  </w:style>
  <w:style w:type="character" w:customStyle="1" w:styleId="51">
    <w:name w:val="font121"/>
    <w:qFormat/>
    <w:uiPriority w:val="0"/>
    <w:rPr>
      <w:rFonts w:hint="eastAsia" w:ascii="微软雅黑" w:hAnsi="微软雅黑" w:eastAsia="微软雅黑" w:cs="微软雅黑"/>
      <w:color w:val="FF0000"/>
      <w:sz w:val="24"/>
      <w:szCs w:val="24"/>
      <w:u w:val="none"/>
    </w:rPr>
  </w:style>
  <w:style w:type="character" w:customStyle="1" w:styleId="52">
    <w:name w:val="font31"/>
    <w:qFormat/>
    <w:uiPriority w:val="0"/>
    <w:rPr>
      <w:rFonts w:hint="eastAsia" w:ascii="微软雅黑" w:hAnsi="微软雅黑" w:eastAsia="微软雅黑" w:cs="微软雅黑"/>
      <w:color w:val="000000"/>
      <w:sz w:val="24"/>
      <w:szCs w:val="24"/>
      <w:u w:val="none"/>
    </w:rPr>
  </w:style>
  <w:style w:type="character" w:customStyle="1" w:styleId="53">
    <w:name w:val="font71"/>
    <w:qFormat/>
    <w:uiPriority w:val="0"/>
    <w:rPr>
      <w:rFonts w:hint="eastAsia" w:ascii="微软雅黑" w:hAnsi="微软雅黑" w:eastAsia="微软雅黑" w:cs="微软雅黑"/>
      <w:b/>
      <w:color w:val="FF0000"/>
      <w:sz w:val="24"/>
      <w:szCs w:val="24"/>
      <w:u w:val="none"/>
    </w:rPr>
  </w:style>
  <w:style w:type="character" w:customStyle="1" w:styleId="54">
    <w:name w:val="font141"/>
    <w:qFormat/>
    <w:uiPriority w:val="0"/>
    <w:rPr>
      <w:rFonts w:hint="eastAsia" w:ascii="微软雅黑" w:hAnsi="微软雅黑" w:eastAsia="微软雅黑" w:cs="微软雅黑"/>
      <w:color w:val="0000FF"/>
      <w:sz w:val="24"/>
      <w:szCs w:val="24"/>
      <w:u w:val="none"/>
    </w:rPr>
  </w:style>
  <w:style w:type="character" w:customStyle="1" w:styleId="55">
    <w:name w:val="font81"/>
    <w:qFormat/>
    <w:uiPriority w:val="0"/>
    <w:rPr>
      <w:rFonts w:hint="eastAsia" w:ascii="黑体" w:hAnsi="宋体" w:eastAsia="黑体" w:cs="黑体"/>
      <w:b/>
      <w:color w:val="000000"/>
      <w:sz w:val="44"/>
      <w:szCs w:val="44"/>
      <w:u w:val="none"/>
    </w:rPr>
  </w:style>
  <w:style w:type="paragraph" w:customStyle="1" w:styleId="56">
    <w:name w:val="È±Ê¡ÎÄ±¾"/>
    <w:basedOn w:val="1"/>
    <w:qFormat/>
    <w:uiPriority w:val="0"/>
    <w:pPr>
      <w:widowControl/>
      <w:overflowPunct w:val="0"/>
      <w:autoSpaceDE w:val="0"/>
      <w:autoSpaceDN w:val="0"/>
      <w:adjustRightInd w:val="0"/>
      <w:jc w:val="left"/>
      <w:textAlignment w:val="baseline"/>
    </w:pPr>
    <w:rPr>
      <w:kern w:val="0"/>
      <w:sz w:val="24"/>
      <w:szCs w:val="20"/>
    </w:rPr>
  </w:style>
  <w:style w:type="paragraph" w:customStyle="1" w:styleId="57">
    <w:name w:val="Revision"/>
    <w:semiHidden/>
    <w:qFormat/>
    <w:uiPriority w:val="99"/>
    <w:rPr>
      <w:rFonts w:ascii="Times New Roman" w:hAnsi="Times New Roman" w:eastAsia="宋体" w:cs="Times New Roman"/>
      <w:kern w:val="2"/>
      <w:sz w:val="21"/>
      <w:szCs w:val="24"/>
      <w:lang w:val="en-US" w:eastAsia="zh-CN" w:bidi="ar-SA"/>
    </w:rPr>
  </w:style>
  <w:style w:type="paragraph" w:customStyle="1" w:styleId="58">
    <w:name w:val="TOC Heading"/>
    <w:basedOn w:val="2"/>
    <w:next w:val="1"/>
    <w:qFormat/>
    <w:uiPriority w:val="39"/>
    <w:pPr>
      <w:numPr>
        <w:numId w:val="0"/>
      </w:numPr>
      <w:adjustRightInd/>
      <w:snapToGrid/>
      <w:spacing w:before="480" w:line="276" w:lineRule="auto"/>
      <w:outlineLvl w:val="9"/>
    </w:pPr>
    <w:rPr>
      <w:rFonts w:ascii="Cambria" w:hAnsi="Cambria"/>
      <w:bCs/>
      <w:snapToGrid/>
      <w:color w:val="365F91"/>
      <w:kern w:val="0"/>
      <w:szCs w:val="28"/>
    </w:rPr>
  </w:style>
  <w:style w:type="paragraph" w:styleId="59">
    <w:name w:val="List Paragraph"/>
    <w:basedOn w:val="1"/>
    <w:qFormat/>
    <w:uiPriority w:val="34"/>
    <w:pPr>
      <w:ind w:firstLine="420"/>
    </w:pPr>
  </w:style>
  <w:style w:type="paragraph" w:customStyle="1" w:styleId="6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61">
    <w:name w:val="4级标题"/>
    <w:basedOn w:val="4"/>
    <w:next w:val="1"/>
    <w:qFormat/>
    <w:uiPriority w:val="0"/>
    <w:pPr>
      <w:widowControl w:val="0"/>
      <w:numPr>
        <w:ilvl w:val="0"/>
        <w:numId w:val="0"/>
      </w:numPr>
      <w:adjustRightInd/>
      <w:snapToGrid/>
      <w:spacing w:before="260" w:after="260" w:line="416" w:lineRule="auto"/>
      <w:ind w:left="480" w:leftChars="100" w:rightChars="100"/>
    </w:pPr>
    <w:rPr>
      <w:rFonts w:ascii="宋体" w:hAnsi="宋体"/>
      <w:bCs/>
      <w:snapToGrid/>
      <w:color w:val="auto"/>
      <w:kern w:val="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SF</Company>
  <Pages>24</Pages>
  <Words>7885</Words>
  <Characters>8137</Characters>
  <Lines>559</Lines>
  <Paragraphs>320</Paragraphs>
  <TotalTime>5</TotalTime>
  <ScaleCrop>false</ScaleCrop>
  <LinksUpToDate>false</LinksUpToDate>
  <CharactersWithSpaces>9128</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2024-07-03T03:26:00Z</dcterms:created>
  <dc:creator>祝翠蓝</dc:creator>
  <cp:lastModifiedBy>赵晗</cp:lastModifiedBy>
  <cp:lastPrinted>2022-09-29T06:20:00Z</cp:lastPrinted>
  <dcterms:modified xsi:type="dcterms:W3CDTF">2024-07-03T08:05:36Z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A4950D6AE805437194A052456CDE9D86</vt:lpwstr>
  </property>
  <property fmtid="{D5CDD505-2E9C-101B-9397-08002B2CF9AE}" pid="4" name="GrammarlyDocumentId">
    <vt:lpwstr>f69993695fffb037415c05d8a072f758ccae5da39cfee091f3ee370894b7b5aa</vt:lpwstr>
  </property>
</Properties>
</file>